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830513" w14:textId="77777777" w:rsidR="00F72067" w:rsidRDefault="00F72067" w:rsidP="00C077C0">
      <w:pPr>
        <w:pStyle w:val="MStitle"/>
      </w:pPr>
      <w:r w:rsidRPr="00EB534F">
        <w:t>Ecological change in the</w:t>
      </w:r>
      <w:r>
        <w:t xml:space="preserve"> native</w:t>
      </w:r>
      <w:r w:rsidRPr="00EB534F">
        <w:t xml:space="preserve"> Scottish </w:t>
      </w:r>
      <w:r>
        <w:t>p</w:t>
      </w:r>
      <w:r w:rsidRPr="00EB534F">
        <w:t>inewoods</w:t>
      </w:r>
      <w:r>
        <w:t xml:space="preserve"> since 1971</w:t>
      </w:r>
      <w:r w:rsidRPr="00EB534F">
        <w:t xml:space="preserve"> - data from </w:t>
      </w:r>
      <w:r>
        <w:t>the Bunce</w:t>
      </w:r>
      <w:r w:rsidRPr="00EB534F">
        <w:t xml:space="preserve"> 2018-2022 re-survey</w:t>
      </w:r>
    </w:p>
    <w:p w14:paraId="1F66816C" w14:textId="77777777" w:rsidR="00F72067" w:rsidRPr="00067CE6" w:rsidRDefault="00F72067" w:rsidP="00C077C0">
      <w:pPr>
        <w:pStyle w:val="Authors"/>
      </w:pPr>
      <w:r w:rsidRPr="00067CE6">
        <w:t>Claire M. Wood</w:t>
      </w:r>
      <w:r w:rsidRPr="00067CE6">
        <w:rPr>
          <w:vertAlign w:val="superscript"/>
        </w:rPr>
        <w:t>1</w:t>
      </w:r>
      <w:r w:rsidRPr="00067CE6">
        <w:t>, Simon M. Smart</w:t>
      </w:r>
      <w:r w:rsidRPr="00067CE6">
        <w:rPr>
          <w:vertAlign w:val="superscript"/>
        </w:rPr>
        <w:t>1</w:t>
      </w:r>
      <w:r w:rsidRPr="00067CE6">
        <w:t>, Fiona M. Seaton</w:t>
      </w:r>
      <w:r w:rsidRPr="00067CE6">
        <w:rPr>
          <w:vertAlign w:val="superscript"/>
        </w:rPr>
        <w:t>1</w:t>
      </w:r>
      <w:r w:rsidRPr="00404A34">
        <w:t xml:space="preserve">, </w:t>
      </w:r>
      <w:r w:rsidRPr="00067CE6">
        <w:t>Andy McMullen</w:t>
      </w:r>
      <w:r w:rsidRPr="00067CE6">
        <w:rPr>
          <w:vertAlign w:val="superscript"/>
        </w:rPr>
        <w:t>2</w:t>
      </w:r>
      <w:r w:rsidRPr="00067CE6">
        <w:t>,</w:t>
      </w:r>
      <w:r>
        <w:t xml:space="preserve"> Susan E. </w:t>
      </w:r>
      <w:r w:rsidRPr="00067CE6">
        <w:t>Ward</w:t>
      </w:r>
      <w:r w:rsidRPr="00067CE6">
        <w:rPr>
          <w:vertAlign w:val="superscript"/>
        </w:rPr>
        <w:t>3</w:t>
      </w:r>
      <w:r w:rsidRPr="00067CE6">
        <w:t xml:space="preserve">, </w:t>
      </w:r>
    </w:p>
    <w:p w14:paraId="3A7FC5B4" w14:textId="77777777" w:rsidR="00F72067" w:rsidRPr="00002CCA" w:rsidRDefault="00F72067" w:rsidP="00C077C0">
      <w:pPr>
        <w:pStyle w:val="Authors"/>
      </w:pPr>
      <w:r w:rsidRPr="00580521">
        <w:t xml:space="preserve">Karen </w:t>
      </w:r>
      <w:r w:rsidRPr="00002CCA">
        <w:t>Hornigold</w:t>
      </w:r>
      <w:r w:rsidRPr="00002CCA">
        <w:rPr>
          <w:vertAlign w:val="superscript"/>
        </w:rPr>
        <w:t>4</w:t>
      </w:r>
      <w:r w:rsidRPr="00002CCA">
        <w:t>, Chris Nichols</w:t>
      </w:r>
      <w:r w:rsidRPr="00002CCA">
        <w:rPr>
          <w:vertAlign w:val="superscript"/>
        </w:rPr>
        <w:t>4</w:t>
      </w:r>
      <w:r w:rsidRPr="00002CCA">
        <w:t>,</w:t>
      </w:r>
      <w:r w:rsidRPr="00002CCA">
        <w:rPr>
          <w:vertAlign w:val="superscript"/>
        </w:rPr>
        <w:t xml:space="preserve"> </w:t>
      </w:r>
      <w:r w:rsidRPr="00002CCA">
        <w:t>Clare M</w:t>
      </w:r>
      <w:r>
        <w:t>cW</w:t>
      </w:r>
      <w:r w:rsidRPr="00002CCA">
        <w:t>.</w:t>
      </w:r>
      <w:r>
        <w:t xml:space="preserve"> </w:t>
      </w:r>
      <w:r w:rsidRPr="00002CCA">
        <w:t>H. Benskin</w:t>
      </w:r>
      <w:r w:rsidRPr="00002CCA">
        <w:rPr>
          <w:vertAlign w:val="superscript"/>
        </w:rPr>
        <w:t>5</w:t>
      </w:r>
    </w:p>
    <w:p w14:paraId="52D07071" w14:textId="77777777" w:rsidR="00F72067" w:rsidRPr="009C2FE2" w:rsidRDefault="00F72067" w:rsidP="00C077C0">
      <w:pPr>
        <w:pStyle w:val="Affiliation"/>
      </w:pPr>
      <w:r w:rsidRPr="009C2FE2">
        <w:rPr>
          <w:vertAlign w:val="superscript"/>
        </w:rPr>
        <w:t>1</w:t>
      </w:r>
      <w:r w:rsidRPr="009C2FE2">
        <w:t xml:space="preserve"> UK Centre for Ecology &amp; Hydrology, Library Avenue,</w:t>
      </w:r>
      <w:r>
        <w:t xml:space="preserve"> </w:t>
      </w:r>
      <w:proofErr w:type="spellStart"/>
      <w:r>
        <w:t>Bailrigg</w:t>
      </w:r>
      <w:proofErr w:type="spellEnd"/>
      <w:r>
        <w:t>,</w:t>
      </w:r>
      <w:r w:rsidRPr="009C2FE2">
        <w:t xml:space="preserve"> Lancaster. LA1 4AP</w:t>
      </w:r>
    </w:p>
    <w:p w14:paraId="21768807" w14:textId="77777777" w:rsidR="00F72067" w:rsidRDefault="00F72067" w:rsidP="00C077C0">
      <w:pPr>
        <w:pStyle w:val="Affiliation"/>
      </w:pPr>
      <w:r w:rsidRPr="004A1C62">
        <w:rPr>
          <w:vertAlign w:val="superscript"/>
        </w:rPr>
        <w:t>2</w:t>
      </w:r>
      <w:r w:rsidRPr="004A1C62">
        <w:t xml:space="preserve"> </w:t>
      </w:r>
      <w:proofErr w:type="spellStart"/>
      <w:r w:rsidRPr="00B00451">
        <w:t>Botanæco</w:t>
      </w:r>
      <w:proofErr w:type="spellEnd"/>
      <w:r w:rsidRPr="00B00451">
        <w:t xml:space="preserve"> Ltd</w:t>
      </w:r>
      <w:r>
        <w:t xml:space="preserve">, </w:t>
      </w:r>
      <w:r w:rsidRPr="00B00451">
        <w:t>3 Vayne Cottages, Fern, Angus, DD9 6SB</w:t>
      </w:r>
    </w:p>
    <w:p w14:paraId="5B4D3A60" w14:textId="77777777" w:rsidR="00F72067" w:rsidRDefault="00F72067" w:rsidP="00C077C0">
      <w:pPr>
        <w:pStyle w:val="Affiliation"/>
      </w:pPr>
      <w:r w:rsidRPr="00067CE6">
        <w:rPr>
          <w:vertAlign w:val="superscript"/>
        </w:rPr>
        <w:t>3</w:t>
      </w:r>
      <w:r>
        <w:t xml:space="preserve"> Sward Ecology Ltd, </w:t>
      </w:r>
      <w:r w:rsidRPr="00532A80">
        <w:t>The Old Court House, Clark Street, Morecambe, Lancashire, United Kingdom, LA4 5HR</w:t>
      </w:r>
    </w:p>
    <w:p w14:paraId="3CC559CE" w14:textId="2DE9D99C" w:rsidR="00F72067" w:rsidRDefault="00F72067" w:rsidP="00C077C0">
      <w:pPr>
        <w:pStyle w:val="Affiliation"/>
      </w:pPr>
      <w:r w:rsidRPr="00122E71">
        <w:rPr>
          <w:vertAlign w:val="superscript"/>
        </w:rPr>
        <w:t>4</w:t>
      </w:r>
      <w:r w:rsidR="002D249C">
        <w:rPr>
          <w:vertAlign w:val="superscript"/>
        </w:rPr>
        <w:t xml:space="preserve"> </w:t>
      </w:r>
      <w:r>
        <w:t xml:space="preserve">Woodland Trust, </w:t>
      </w:r>
      <w:r w:rsidRPr="00580521">
        <w:t>Kempton Way, Grantham, Lincolnshire, NG31 6LL</w:t>
      </w:r>
    </w:p>
    <w:p w14:paraId="7A130102" w14:textId="77777777" w:rsidR="00F72067" w:rsidRPr="00EE437A" w:rsidRDefault="00F72067" w:rsidP="00C077C0">
      <w:pPr>
        <w:pStyle w:val="Affiliation"/>
        <w:rPr>
          <w:color w:val="FF0000"/>
        </w:rPr>
      </w:pPr>
      <w:r w:rsidRPr="00580521">
        <w:rPr>
          <w:vertAlign w:val="superscript"/>
        </w:rPr>
        <w:t>5</w:t>
      </w:r>
      <w:r w:rsidRPr="00EE437A">
        <w:t xml:space="preserve"> Lancaster Environment Centre, Lancaster University, Lancaster LA1 4YQ</w:t>
      </w:r>
    </w:p>
    <w:p w14:paraId="461AAD60" w14:textId="77777777" w:rsidR="00F72067" w:rsidRDefault="00F72067" w:rsidP="00C077C0">
      <w:pPr>
        <w:pStyle w:val="Affiliation"/>
        <w:rPr>
          <w:color w:val="FF0000"/>
        </w:rPr>
      </w:pPr>
    </w:p>
    <w:p w14:paraId="087A1B43" w14:textId="77777777" w:rsidR="00F72067" w:rsidRDefault="00F72067" w:rsidP="00C077C0">
      <w:pPr>
        <w:pStyle w:val="Affiliation"/>
        <w:rPr>
          <w:i/>
        </w:rPr>
      </w:pPr>
      <w:r w:rsidRPr="009C2FE2">
        <w:rPr>
          <w:i/>
        </w:rPr>
        <w:t>Correspondence to: Claire Wood (</w:t>
      </w:r>
      <w:hyperlink r:id="rId8" w:history="1">
        <w:r w:rsidRPr="00FA1770">
          <w:rPr>
            <w:rStyle w:val="Hyperlink"/>
            <w:rFonts w:eastAsiaTheme="majorEastAsia"/>
            <w:i/>
          </w:rPr>
          <w:t>clamw@ceh.ac..uk</w:t>
        </w:r>
      </w:hyperlink>
      <w:r w:rsidRPr="009C2FE2">
        <w:rPr>
          <w:i/>
        </w:rPr>
        <w:t>)</w:t>
      </w:r>
    </w:p>
    <w:p w14:paraId="4F749595" w14:textId="77777777" w:rsidR="00F72067" w:rsidRDefault="00F72067" w:rsidP="00C077C0">
      <w:pPr>
        <w:pStyle w:val="Affiliation"/>
        <w:rPr>
          <w:i/>
        </w:rPr>
      </w:pPr>
    </w:p>
    <w:p w14:paraId="469B5077" w14:textId="77777777" w:rsidR="00F72067" w:rsidRPr="009C2FE2" w:rsidRDefault="00F72067" w:rsidP="00C077C0">
      <w:pPr>
        <w:pStyle w:val="Affiliation"/>
        <w:rPr>
          <w:i/>
        </w:rPr>
      </w:pPr>
    </w:p>
    <w:p w14:paraId="4F6ACF2E" w14:textId="77777777" w:rsidR="00F72067" w:rsidRDefault="00F72067" w:rsidP="00C077C0">
      <w:r w:rsidRPr="000A1B66">
        <w:rPr>
          <w:b/>
        </w:rPr>
        <w:t>Abstract.</w:t>
      </w:r>
      <w:r>
        <w:t xml:space="preserve"> </w:t>
      </w:r>
    </w:p>
    <w:p w14:paraId="4F9AEB68" w14:textId="77777777" w:rsidR="00F72067" w:rsidRDefault="00F72067" w:rsidP="00C077C0">
      <w:r>
        <w:t xml:space="preserve">The native pinewoods of Scotland are acknowledged to be an important ecological resource, both for their biodiversity value and as a cultural and amenity resource. Due to the unique nature of the habitat and its limited range, it plays a critical role as an early warning system for broader environmental issues. In the late 1960s and 70s, increased concern was expressed regarding a decline in the status and management of the pinewoods. In response to the concerns, an ecological monitoring survey was initiated by R.G.H. Bunce of the Nature Conservancy in 1971, recording ground flora, tree information, soils and other descriptive attributes. </w:t>
      </w:r>
      <w:r w:rsidRPr="00944BB2">
        <w:t>Since that time, interest in the pinewoods has increased</w:t>
      </w:r>
      <w:r>
        <w:t xml:space="preserve"> further</w:t>
      </w:r>
      <w:r w:rsidRPr="00944BB2">
        <w:t>, and</w:t>
      </w:r>
      <w:r>
        <w:t xml:space="preserve"> there is a general consensus that the habitat is more vulnerable than ever. Thanks to a recent repeat survey between 2018 and 2022, questions addressing the threats and changes occurring in the pinewoods can now be explored in a statistically robust way. These questions include issues surrounding the impacts of deer grazing, regeneration, the balance between native and exotic species, local disturbances, trends in ground flora species occurrences, climate change</w:t>
      </w:r>
      <w:r w:rsidRPr="00A81145">
        <w:t xml:space="preserve"> </w:t>
      </w:r>
      <w:r>
        <w:t xml:space="preserve">and recovery from acidification. The new data from the 2018-22 survey are now publicly available via the following DOI: </w:t>
      </w:r>
      <w:hyperlink r:id="rId9" w:history="1">
        <w:r w:rsidRPr="00FA1770">
          <w:rPr>
            <w:rStyle w:val="Hyperlink"/>
            <w:rFonts w:eastAsiaTheme="majorEastAsia"/>
          </w:rPr>
          <w:t>https://doi.org/10.5285/5e268e86-4a4f-4112-bf2d-c3b0179c915c</w:t>
        </w:r>
      </w:hyperlink>
      <w:r>
        <w:t xml:space="preserve"> ‘</w:t>
      </w:r>
      <w:r w:rsidRPr="009C2FE2">
        <w:t>Habitat, vegetation, tree and soil data from Native Pinewoods in Scotland, 2018-2022</w:t>
      </w:r>
      <w:r>
        <w:t>’.</w:t>
      </w:r>
    </w:p>
    <w:p w14:paraId="0545CA81" w14:textId="77777777" w:rsidR="00F72067" w:rsidRDefault="00F72067" w:rsidP="00C077C0"/>
    <w:p w14:paraId="6176628B" w14:textId="77777777" w:rsidR="00F72067" w:rsidRDefault="00F72067" w:rsidP="00C077C0"/>
    <w:p w14:paraId="15AF6ABB" w14:textId="77777777" w:rsidR="00F72067" w:rsidRDefault="00F72067" w:rsidP="00C077C0"/>
    <w:p w14:paraId="059E418F" w14:textId="77777777" w:rsidR="00F72067" w:rsidRDefault="00F72067" w:rsidP="00C077C0"/>
    <w:p w14:paraId="2345B237" w14:textId="77777777" w:rsidR="00F72067" w:rsidRDefault="00F72067" w:rsidP="00C077C0"/>
    <w:p w14:paraId="43D2A25A" w14:textId="77777777" w:rsidR="00F72067" w:rsidRDefault="00F72067" w:rsidP="00C077C0"/>
    <w:p w14:paraId="02AB1D48" w14:textId="77777777" w:rsidR="00F72067" w:rsidRDefault="00F72067" w:rsidP="00C077C0"/>
    <w:p w14:paraId="798F0AAD" w14:textId="77777777" w:rsidR="00F72067" w:rsidRDefault="00F72067" w:rsidP="00C077C0"/>
    <w:p w14:paraId="7F997F8A" w14:textId="77777777" w:rsidR="00F72067" w:rsidRDefault="00F72067" w:rsidP="00C077C0"/>
    <w:p w14:paraId="3EBEC93E" w14:textId="77777777" w:rsidR="00F72067" w:rsidRDefault="00F72067" w:rsidP="00C077C0"/>
    <w:p w14:paraId="383B2FF5" w14:textId="77777777" w:rsidR="00F72067" w:rsidRDefault="00F72067" w:rsidP="00C077C0"/>
    <w:p w14:paraId="51AB9B13" w14:textId="77777777" w:rsidR="00F72067" w:rsidRDefault="00F72067" w:rsidP="00C077C0"/>
    <w:p w14:paraId="3F691646" w14:textId="77777777" w:rsidR="00F72067" w:rsidRDefault="00F72067" w:rsidP="00C077C0"/>
    <w:p w14:paraId="23A8AFEC" w14:textId="77777777" w:rsidR="00F72067" w:rsidRDefault="00F72067" w:rsidP="00C077C0">
      <w:pPr>
        <w:pStyle w:val="Heading1"/>
      </w:pPr>
      <w:r>
        <w:lastRenderedPageBreak/>
        <w:t xml:space="preserve">1 Introduction </w:t>
      </w:r>
    </w:p>
    <w:p w14:paraId="1971B658" w14:textId="77777777" w:rsidR="00F72067" w:rsidRDefault="00F72067" w:rsidP="00C077C0">
      <w:r>
        <w:t>The Caledonian Pinewoods are a globally unique habitat. They are usually dominated by native Scots pine (</w:t>
      </w:r>
      <w:r w:rsidRPr="00886967">
        <w:rPr>
          <w:i/>
          <w:iCs/>
        </w:rPr>
        <w:t>Pinus sylvestris</w:t>
      </w:r>
      <w:r>
        <w:t>) but often have diverse canopies that include birch (</w:t>
      </w:r>
      <w:r w:rsidRPr="00886967">
        <w:rPr>
          <w:i/>
          <w:iCs/>
        </w:rPr>
        <w:t>Betula</w:t>
      </w:r>
      <w:r>
        <w:t xml:space="preserve"> spp.), rowan (</w:t>
      </w:r>
      <w:r w:rsidRPr="00886967">
        <w:rPr>
          <w:i/>
          <w:iCs/>
        </w:rPr>
        <w:t>Sorbus aucuparia</w:t>
      </w:r>
      <w:r>
        <w:t>), alder (</w:t>
      </w:r>
      <w:r w:rsidRPr="00886967">
        <w:rPr>
          <w:i/>
          <w:iCs/>
        </w:rPr>
        <w:t xml:space="preserve">Alnus </w:t>
      </w:r>
      <w:proofErr w:type="spellStart"/>
      <w:r w:rsidRPr="00886967">
        <w:rPr>
          <w:i/>
          <w:iCs/>
        </w:rPr>
        <w:t>glutinosa</w:t>
      </w:r>
      <w:proofErr w:type="spellEnd"/>
      <w:r>
        <w:t>), willow (</w:t>
      </w:r>
      <w:r w:rsidRPr="00886967">
        <w:rPr>
          <w:i/>
          <w:iCs/>
        </w:rPr>
        <w:t>Salix</w:t>
      </w:r>
      <w:r>
        <w:t xml:space="preserve"> spp.), holly (</w:t>
      </w:r>
      <w:r w:rsidRPr="00886967">
        <w:rPr>
          <w:i/>
          <w:iCs/>
        </w:rPr>
        <w:t xml:space="preserve">Ilex </w:t>
      </w:r>
      <w:proofErr w:type="spellStart"/>
      <w:r w:rsidRPr="00886967">
        <w:rPr>
          <w:i/>
          <w:iCs/>
        </w:rPr>
        <w:t>aquifolium</w:t>
      </w:r>
      <w:proofErr w:type="spellEnd"/>
      <w:r>
        <w:t>) and hazel (</w:t>
      </w:r>
      <w:r w:rsidRPr="00886967">
        <w:rPr>
          <w:i/>
          <w:iCs/>
        </w:rPr>
        <w:t>Corylus avellana</w:t>
      </w:r>
      <w:r>
        <w:t xml:space="preserve">). In Scotland, the native pine woodlands are included on the Scottish biodiversity list </w:t>
      </w:r>
      <w:r>
        <w:rPr>
          <w:noProof/>
        </w:rPr>
        <w:t>(Naturescot, 2024)</w:t>
      </w:r>
      <w:r>
        <w:t xml:space="preserve">. They are identified as a priority habitat in the UK Biodiversity Action Plan </w:t>
      </w:r>
      <w:r>
        <w:rPr>
          <w:noProof/>
        </w:rPr>
        <w:t>(Maddock, 2008)</w:t>
      </w:r>
      <w:r>
        <w:t xml:space="preserve">, and as an Annex I Habitat in the EU Habitats Directive (Caledonian Forest 91C0) </w:t>
      </w:r>
      <w:r w:rsidRPr="00944BB2">
        <w:rPr>
          <w:noProof/>
        </w:rPr>
        <w:t>(Romão, 2013)</w:t>
      </w:r>
      <w:r w:rsidRPr="00944BB2">
        <w:t>. The</w:t>
      </w:r>
      <w:r>
        <w:t xml:space="preserve"> restoration and resilience of this habitat is vital for halting biodiversity loss and contributing to reaching net zero, as well as being valued for cultural and recreational reasons. As a rare and unique habitat, the pinewoods act as an early warning system for many wider environmental issues. Several issues impacting the Scottish pinewood habitat have been identified including non-native tree species planting, regeneration of native species, deer density and management, ground flora species decline and climate change. In the last 50 years, statistically robust data regarding ecological changes in the habitat had been lacking</w:t>
      </w:r>
      <w:r w:rsidRPr="005D39B8">
        <w:t xml:space="preserve"> </w:t>
      </w:r>
      <w:r>
        <w:t>that would allow investigation of changes over time related to these themes. The repeat of the ‘Bunce Scottish Pinewood Survey’, completed in 2022, provides the evidence to explore a wide range of questions.</w:t>
      </w:r>
    </w:p>
    <w:p w14:paraId="3A6D1DFE" w14:textId="499C3D1F" w:rsidR="00F72067" w:rsidRDefault="00F72067" w:rsidP="00C077C0">
      <w:r>
        <w:t xml:space="preserve">In the 1960s and 70s, concerns were expressed as to the decline in the native pinewoods, and as a result, an ecological survey (the ‘Bunce Scottish Pinewood Survey’) was initiated in 1971 by Professor R.G.H. Bunce of the Nature Conservancy (later the Institute of Terrestrial Ecology and the UK Centre for Ecology &amp; Hydrology). This baseline survey is described in detail in </w:t>
      </w:r>
      <w:r>
        <w:rPr>
          <w:noProof/>
        </w:rPr>
        <w:t>Wood and Bunce (2016)</w:t>
      </w:r>
      <w:r>
        <w:t xml:space="preserve"> and aimed to build on the comprehensive ‘Native pinewoods of Scotland’ book published in 1959 </w:t>
      </w:r>
      <w:r>
        <w:rPr>
          <w:noProof/>
        </w:rPr>
        <w:t>(Steven and Carlisle, 1959)</w:t>
      </w:r>
      <w:r>
        <w:t xml:space="preserve">. The initial 1971 survey led to a symposium in 1975, bringing together key stakeholders and raising the profile in conservation terms of this biodiverse and valued habitat. </w:t>
      </w:r>
      <w:r w:rsidRPr="00580521">
        <w:t xml:space="preserve">Ongoing concern about the current state of the woodlands led to </w:t>
      </w:r>
      <w:r>
        <w:t>‘</w:t>
      </w:r>
      <w:r w:rsidRPr="00580521">
        <w:t>Scotland’s Pinewood Conference</w:t>
      </w:r>
      <w:r>
        <w:t>’</w:t>
      </w:r>
      <w:r w:rsidRPr="00580521">
        <w:t xml:space="preserve">, convened in Fort William, Scotland in October 2024, the third of its kind since 1975. Attendees included conservationists, foresters, land managers and academics.  </w:t>
      </w:r>
      <w:r>
        <w:t xml:space="preserve">The repeatable methods used in the 1971 survey have enabled a re-survey of the Bunce sites, starting in 2018. The survey was completed in 2022, and was largely funded by </w:t>
      </w:r>
      <w:r w:rsidRPr="001312DE">
        <w:t>Woodland Trust, with a contribution from the Cairngorms National Park Authority</w:t>
      </w:r>
      <w:r>
        <w:t>. At the same time, a complementary survey was carried out, the ‘Bunce Woodland Survey of Great Britain’,</w:t>
      </w:r>
      <w:r w:rsidRPr="00E267B8">
        <w:t xml:space="preserve"> </w:t>
      </w:r>
      <w:r>
        <w:t xml:space="preserve">also initiated in 1971 using the same methods </w:t>
      </w:r>
      <w:r>
        <w:rPr>
          <w:noProof/>
        </w:rPr>
        <w:t>(Wood and Bunce, 2016; Smart et al., 2024)</w:t>
      </w:r>
      <w:r>
        <w:t xml:space="preserve">. That survey had been repeated in 2001 </w:t>
      </w:r>
      <w:r>
        <w:rPr>
          <w:noProof/>
        </w:rPr>
        <w:t>(Wood et al., 2015; Kirby et al., 2005)</w:t>
      </w:r>
      <w:r>
        <w:t xml:space="preserve">, however the Bunce pinewood survey had never been repeated aside from two sites (Mar Lodge and </w:t>
      </w:r>
      <w:proofErr w:type="spellStart"/>
      <w:r>
        <w:t>Shieldaig</w:t>
      </w:r>
      <w:proofErr w:type="spellEnd"/>
      <w:r>
        <w:t xml:space="preserve">) undertaken as part of a pilot study in 2000 </w:t>
      </w:r>
      <w:r>
        <w:rPr>
          <w:noProof/>
        </w:rPr>
        <w:t>(Smart et al., 2001)</w:t>
      </w:r>
      <w:r>
        <w:t>.</w:t>
      </w:r>
    </w:p>
    <w:p w14:paraId="072472D1" w14:textId="77777777" w:rsidR="00F72067" w:rsidRDefault="00F72067" w:rsidP="00C077C0">
      <w:r>
        <w:t>The main aims of the 2018-22 re-survey were to provide an evidence base for understanding the effects of multiple drivers and threats within a habitat of high conservation importance, and to gain a unique perspective on how understanding the past aids interpretation of the present. In particular, to investigate the status of native and non-native tree species, to collect evidence on the impacts of deer grazing, to test whether vegetation changes in the understorey have stabilised or been reversed due to local disturbance or management, to collect evidence of ongoing recovery from acidification by atmospheric sulphur  and nitrogen deposition, to characterise the nearly 50-year trend in terms of variables that reflect links to ecosystem services (such as carbon storage in canopy and soils), and the changing role of woodlands as refuges for distinctive species. A substantial benefit of the Bunce survey is that change since 1971 can be directly assessed</w:t>
      </w:r>
      <w:r w:rsidRPr="00C94A9B">
        <w:t xml:space="preserve">. The survey complements other recent work carried out in the pinewoods – the </w:t>
      </w:r>
      <w:r>
        <w:t>‘</w:t>
      </w:r>
      <w:r w:rsidRPr="00C94A9B">
        <w:t>Caledonian Pinewood Survey</w:t>
      </w:r>
      <w:r>
        <w:t>’</w:t>
      </w:r>
      <w:r w:rsidRPr="00C94A9B">
        <w:t xml:space="preserve"> </w:t>
      </w:r>
      <w:r w:rsidRPr="00C94A9B">
        <w:rPr>
          <w:noProof/>
        </w:rPr>
        <w:t>(Rainey and Holmes, 2023)</w:t>
      </w:r>
      <w:r>
        <w:t xml:space="preserve"> and</w:t>
      </w:r>
      <w:r w:rsidRPr="00C94A9B">
        <w:t xml:space="preserve"> the </w:t>
      </w:r>
      <w:r>
        <w:t>‘</w:t>
      </w:r>
      <w:r w:rsidRPr="00C94A9B">
        <w:t xml:space="preserve">Native Pine </w:t>
      </w:r>
      <w:r>
        <w:t>S</w:t>
      </w:r>
      <w:r w:rsidRPr="00C94A9B">
        <w:t>urvey</w:t>
      </w:r>
      <w:r>
        <w:t xml:space="preserve">’, </w:t>
      </w:r>
      <w:r>
        <w:lastRenderedPageBreak/>
        <w:t xml:space="preserve">part of the </w:t>
      </w:r>
      <w:r w:rsidRPr="00C94A9B">
        <w:t>Native Woodland Survey of Scotland (NWSS)</w:t>
      </w:r>
      <w:r>
        <w:t xml:space="preserve"> </w:t>
      </w:r>
      <w:r>
        <w:rPr>
          <w:noProof/>
        </w:rPr>
        <w:t>(Patterson et al., 2014)</w:t>
      </w:r>
      <w:r>
        <w:t xml:space="preserve"> in addition to many smaller studies such as </w:t>
      </w:r>
      <w:r>
        <w:rPr>
          <w:noProof/>
        </w:rPr>
        <w:t>Bruce and Servant (2003); Froyd and Bennett (2006); Bain (1987)</w:t>
      </w:r>
      <w:r>
        <w:t>.</w:t>
      </w:r>
    </w:p>
    <w:p w14:paraId="1C5571BA" w14:textId="77777777" w:rsidR="00F72067" w:rsidRDefault="00F72067" w:rsidP="00C077C0"/>
    <w:p w14:paraId="14F8B015" w14:textId="77777777" w:rsidR="00F72067" w:rsidRDefault="00F72067" w:rsidP="00C077C0">
      <w:pPr>
        <w:rPr>
          <w:b/>
          <w:bCs/>
        </w:rPr>
      </w:pPr>
      <w:r>
        <w:rPr>
          <w:b/>
          <w:bCs/>
        </w:rPr>
        <w:t xml:space="preserve">1.1 </w:t>
      </w:r>
      <w:r w:rsidRPr="00E52D73">
        <w:rPr>
          <w:b/>
          <w:bCs/>
        </w:rPr>
        <w:t>Sites</w:t>
      </w:r>
    </w:p>
    <w:p w14:paraId="2387E25C" w14:textId="77777777" w:rsidR="00F72067" w:rsidRDefault="00F72067" w:rsidP="00C077C0">
      <w:r>
        <w:t xml:space="preserve">The sites chosen for inclusion in the Bunce survey are a set of 27 sites chosen from 35 included as maps in the seminal text of Steven and Carlisle (1959), which were identified as the major areas of native pine woodland in Scotland. </w:t>
      </w:r>
      <w:r w:rsidRPr="00E52D73">
        <w:t>Since 1971, the pinewoods originally surveyed have undergone</w:t>
      </w:r>
      <w:r>
        <w:t xml:space="preserve"> substantial</w:t>
      </w:r>
      <w:r w:rsidRPr="00E52D73">
        <w:t xml:space="preserve"> changes in management and ownership</w:t>
      </w:r>
      <w:r>
        <w:t xml:space="preserve">, and therefore it is expected that changes in the ground flora, trees and other ecological aspects have also changed in line with these drivers, as well as wider external factors such as climate change and atmospheric deposition. These sites were divided into groups by Steven and Carlisle as </w:t>
      </w:r>
      <w:r w:rsidRPr="003C74E7">
        <w:t>shown in Fig. 1,</w:t>
      </w:r>
      <w:r>
        <w:t xml:space="preserve"> and it is helpful to summarise the sites on this basis, as they represent different gradients in potential change drivers, such as rainfall, as illustrated, and other geographical variability, such as soil type. Each group also has some similarities in ownership and management as outlined below.</w:t>
      </w:r>
    </w:p>
    <w:p w14:paraId="301D6914" w14:textId="77777777" w:rsidR="00EB6595" w:rsidRDefault="00EB6595" w:rsidP="00C077C0"/>
    <w:p w14:paraId="2F0396E6" w14:textId="77777777" w:rsidR="00F72067" w:rsidRDefault="00F72067" w:rsidP="00C077C0">
      <w:pPr>
        <w:jc w:val="center"/>
      </w:pPr>
      <w:r>
        <w:rPr>
          <w:noProof/>
        </w:rPr>
        <w:drawing>
          <wp:inline distT="0" distB="0" distL="0" distR="0" wp14:anchorId="23E10855" wp14:editId="0B096D30">
            <wp:extent cx="4294449" cy="4872325"/>
            <wp:effectExtent l="0" t="0" r="0" b="5080"/>
            <wp:docPr id="1036575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09207" cy="4889069"/>
                    </a:xfrm>
                    <a:prstGeom prst="rect">
                      <a:avLst/>
                    </a:prstGeom>
                    <a:noFill/>
                    <a:ln>
                      <a:noFill/>
                    </a:ln>
                  </pic:spPr>
                </pic:pic>
              </a:graphicData>
            </a:graphic>
          </wp:inline>
        </w:drawing>
      </w:r>
    </w:p>
    <w:p w14:paraId="37C0C73A" w14:textId="77777777" w:rsidR="00F72067" w:rsidRDefault="00F72067" w:rsidP="00C077C0">
      <w:pPr>
        <w:jc w:val="center"/>
        <w:rPr>
          <w:b/>
          <w:bCs/>
        </w:rPr>
      </w:pPr>
      <w:r w:rsidRPr="005D554A">
        <w:rPr>
          <w:i/>
          <w:iCs/>
          <w:sz w:val="18"/>
          <w:szCs w:val="22"/>
        </w:rPr>
        <w:t>Contains Ordnance Survey data © Crown Copyright and database right 2025</w:t>
      </w:r>
    </w:p>
    <w:p w14:paraId="79A7D575" w14:textId="7354E1B4" w:rsidR="00F72067" w:rsidRDefault="00F72067" w:rsidP="00C077C0">
      <w:pPr>
        <w:jc w:val="center"/>
        <w:rPr>
          <w:b/>
          <w:bCs/>
        </w:rPr>
      </w:pPr>
      <w:r w:rsidRPr="00954AD0">
        <w:rPr>
          <w:b/>
          <w:bCs/>
        </w:rPr>
        <w:t xml:space="preserve">Figure </w:t>
      </w:r>
      <w:r>
        <w:rPr>
          <w:b/>
          <w:bCs/>
        </w:rPr>
        <w:t>1</w:t>
      </w:r>
      <w:r w:rsidRPr="00954AD0">
        <w:rPr>
          <w:b/>
          <w:bCs/>
        </w:rPr>
        <w:t>.  Pinewood</w:t>
      </w:r>
      <w:r>
        <w:rPr>
          <w:b/>
          <w:bCs/>
        </w:rPr>
        <w:t xml:space="preserve"> site</w:t>
      </w:r>
      <w:r w:rsidRPr="00954AD0">
        <w:rPr>
          <w:b/>
          <w:bCs/>
        </w:rPr>
        <w:t xml:space="preserve"> groups</w:t>
      </w:r>
      <w:r>
        <w:rPr>
          <w:b/>
          <w:bCs/>
        </w:rPr>
        <w:t xml:space="preserve"> shown in Steven and Carlisle </w:t>
      </w:r>
      <w:r>
        <w:rPr>
          <w:b/>
          <w:bCs/>
          <w:noProof/>
        </w:rPr>
        <w:t xml:space="preserve">(Steven and Carlisle, 1959) </w:t>
      </w:r>
      <w:r>
        <w:rPr>
          <w:b/>
          <w:bCs/>
        </w:rPr>
        <w:t xml:space="preserve">groupings displayed with mean annual rainfall for 2022 </w:t>
      </w:r>
      <w:r>
        <w:rPr>
          <w:b/>
          <w:bCs/>
          <w:noProof/>
        </w:rPr>
        <w:t>(Met Office, 2024)</w:t>
      </w:r>
      <w:r>
        <w:rPr>
          <w:b/>
          <w:bCs/>
        </w:rPr>
        <w:t xml:space="preserve"> </w:t>
      </w:r>
    </w:p>
    <w:p w14:paraId="36B4DE18" w14:textId="77777777" w:rsidR="00F72067" w:rsidRDefault="00F72067" w:rsidP="00C077C0">
      <w:pPr>
        <w:jc w:val="center"/>
        <w:rPr>
          <w:noProof/>
        </w:rPr>
      </w:pPr>
    </w:p>
    <w:p w14:paraId="53B90A78" w14:textId="77777777" w:rsidR="00F72067" w:rsidRDefault="00F72067" w:rsidP="00C077C0">
      <w:r>
        <w:lastRenderedPageBreak/>
        <w:t xml:space="preserve">The sites in the Deeside Group: Glen Tanar, </w:t>
      </w:r>
      <w:proofErr w:type="spellStart"/>
      <w:r>
        <w:t>Ballochbuie</w:t>
      </w:r>
      <w:proofErr w:type="spellEnd"/>
      <w:r>
        <w:t xml:space="preserve">, and Mar Lodge, are the most easterly of the pinewoods, experiencing lower rainfall and lower winter temperatures compared to the other sites. All sites were in private ownership in 1971. Since then, Glen Tanar was partially acquired by the Scottish nature conservation agency, NatureScot, in 1978, and Mar Lodge has been acquired by The National Trust, a charity whose aims include nature conservation. </w:t>
      </w:r>
      <w:proofErr w:type="spellStart"/>
      <w:r>
        <w:t>Ballochbuie</w:t>
      </w:r>
      <w:proofErr w:type="spellEnd"/>
      <w:r>
        <w:t xml:space="preserve"> is still under the private ownership of the Crown Estate. Management of these sites has increasingly focused on conservation in the last few decades.</w:t>
      </w:r>
    </w:p>
    <w:p w14:paraId="7CD38FEE" w14:textId="77777777" w:rsidR="00F72067" w:rsidRDefault="00F72067" w:rsidP="00C077C0">
      <w:r>
        <w:t xml:space="preserve">Abernethy, </w:t>
      </w:r>
      <w:proofErr w:type="spellStart"/>
      <w:r>
        <w:t>Rothiemurchus</w:t>
      </w:r>
      <w:proofErr w:type="spellEnd"/>
      <w:r>
        <w:t xml:space="preserve">, Glenmore, Glen </w:t>
      </w:r>
      <w:proofErr w:type="spellStart"/>
      <w:r>
        <w:t>Feshie</w:t>
      </w:r>
      <w:proofErr w:type="spellEnd"/>
      <w:r>
        <w:t xml:space="preserve"> and </w:t>
      </w:r>
      <w:proofErr w:type="spellStart"/>
      <w:r>
        <w:t>Dulnain</w:t>
      </w:r>
      <w:proofErr w:type="spellEnd"/>
      <w:r>
        <w:t xml:space="preserve"> are all in the Speyside Group, and include some of the largest pinewoods. Along with the Deeside sites, the Speyside sites are located in areas with the lowest rainfall and winter temperatures compared to the other Groups. The majority of these sites are in public ownership, owned by Forest and Land Scotland (</w:t>
      </w:r>
      <w:commentRangeStart w:id="0"/>
      <w:r>
        <w:t>FLS</w:t>
      </w:r>
      <w:commentRangeEnd w:id="0"/>
      <w:r w:rsidR="00C26A50">
        <w:rPr>
          <w:rStyle w:val="CommentReference"/>
        </w:rPr>
        <w:commentReference w:id="0"/>
      </w:r>
      <w:r>
        <w:t xml:space="preserve">) and therefore subject to changing FLS policies over the years. In the past, felling and planting of non-native species particularly at </w:t>
      </w:r>
      <w:commentRangeStart w:id="1"/>
      <w:r>
        <w:t xml:space="preserve">Abernethy </w:t>
      </w:r>
      <w:commentRangeEnd w:id="1"/>
      <w:r w:rsidR="00C26A50">
        <w:rPr>
          <w:rStyle w:val="CommentReference"/>
        </w:rPr>
        <w:commentReference w:id="1"/>
      </w:r>
      <w:r>
        <w:t xml:space="preserve">and Glenmore occurred. FLS policies in recent years have been based more around conservation objectives than in the past, when timber production was paramount. </w:t>
      </w:r>
    </w:p>
    <w:p w14:paraId="5B45A4B5" w14:textId="77777777" w:rsidR="00F72067" w:rsidRDefault="00F72067" w:rsidP="00C077C0">
      <w:r>
        <w:t xml:space="preserve">The Great Glen Group contains sites located in the valleys of the glen, with rainfall values ranging from moderate to very high and relatively mild winters. The sites are under a mixture of ownership. </w:t>
      </w:r>
      <w:proofErr w:type="spellStart"/>
      <w:r>
        <w:t>Barrisdale</w:t>
      </w:r>
      <w:proofErr w:type="spellEnd"/>
      <w:r>
        <w:t xml:space="preserve"> and Ardgour are in private ownership and are both relatively remote sites with scattered pine trees. The Loch Arkaig &amp; Glen Mallie site was recently </w:t>
      </w:r>
      <w:r w:rsidRPr="00F05C78">
        <w:t>acquired by the Woodland Trust, and the removal of non-native</w:t>
      </w:r>
      <w:r>
        <w:t xml:space="preserve"> tree</w:t>
      </w:r>
      <w:r w:rsidRPr="00F05C78">
        <w:t xml:space="preserve"> species is a </w:t>
      </w:r>
      <w:r>
        <w:t xml:space="preserve">management </w:t>
      </w:r>
      <w:r w:rsidRPr="00F05C78">
        <w:t>priority here, as well as continuing to recover fro</w:t>
      </w:r>
      <w:r>
        <w:t>m a widespread and devastating fire in 1942.</w:t>
      </w:r>
    </w:p>
    <w:p w14:paraId="19CC885A" w14:textId="77777777" w:rsidR="00F72067" w:rsidRDefault="00F72067" w:rsidP="00C077C0">
      <w:r>
        <w:t xml:space="preserve">The Strath Glass Group contains Glen Affric, Glen Cannich, Glen </w:t>
      </w:r>
      <w:proofErr w:type="spellStart"/>
      <w:r>
        <w:t>Strathfarrar</w:t>
      </w:r>
      <w:proofErr w:type="spellEnd"/>
      <w:r>
        <w:t xml:space="preserve"> and </w:t>
      </w:r>
      <w:proofErr w:type="spellStart"/>
      <w:r>
        <w:t>Guisachan</w:t>
      </w:r>
      <w:proofErr w:type="spellEnd"/>
      <w:r>
        <w:t xml:space="preserve"> &amp; </w:t>
      </w:r>
      <w:proofErr w:type="spellStart"/>
      <w:r>
        <w:t>Cougie</w:t>
      </w:r>
      <w:proofErr w:type="spellEnd"/>
      <w:r>
        <w:t xml:space="preserve">. These receive moderately high rainfall, with cold winters.  All are in public (FLS) ownership with the exception of Glen </w:t>
      </w:r>
      <w:proofErr w:type="spellStart"/>
      <w:r>
        <w:t>Strathfarrar</w:t>
      </w:r>
      <w:proofErr w:type="spellEnd"/>
      <w:r>
        <w:t xml:space="preserve">. Non-native conifer planting has occurred in these sites, and their removal has been ongoing. Deer fencing </w:t>
      </w:r>
      <w:commentRangeStart w:id="2"/>
      <w:r>
        <w:t xml:space="preserve">and management </w:t>
      </w:r>
      <w:commentRangeEnd w:id="2"/>
      <w:r w:rsidR="00426554">
        <w:rPr>
          <w:rStyle w:val="CommentReference"/>
        </w:rPr>
        <w:commentReference w:id="2"/>
      </w:r>
      <w:r>
        <w:t>has been a priority in recent decades.</w:t>
      </w:r>
    </w:p>
    <w:p w14:paraId="56979AF1" w14:textId="77777777" w:rsidR="00F72067" w:rsidRDefault="00F72067" w:rsidP="00C077C0">
      <w:r>
        <w:t xml:space="preserve">The Wester Ross Group contains </w:t>
      </w:r>
      <w:proofErr w:type="spellStart"/>
      <w:r>
        <w:t>Shieldaig</w:t>
      </w:r>
      <w:proofErr w:type="spellEnd"/>
      <w:r>
        <w:t xml:space="preserve">, Loch Maree, </w:t>
      </w:r>
      <w:proofErr w:type="spellStart"/>
      <w:r>
        <w:t>Coulin</w:t>
      </w:r>
      <w:proofErr w:type="spellEnd"/>
      <w:r>
        <w:t xml:space="preserve"> and </w:t>
      </w:r>
      <w:proofErr w:type="spellStart"/>
      <w:r>
        <w:t>Achnashellach</w:t>
      </w:r>
      <w:proofErr w:type="spellEnd"/>
      <w:r>
        <w:t>, and consists of sites with high rainfall and mild winters at the western edge of the Scots pine range. Ownership is a mix of public (FLS) and private.</w:t>
      </w:r>
    </w:p>
    <w:p w14:paraId="111FFCE0" w14:textId="77777777" w:rsidR="00F72067" w:rsidRDefault="00F72067" w:rsidP="00C077C0">
      <w:commentRangeStart w:id="3"/>
      <w:r>
        <w:t xml:space="preserve">In the Rannoch Group, the Black Wood of Rannoch has been declared a </w:t>
      </w:r>
      <w:r w:rsidRPr="008078B0">
        <w:t>Site of Special Scientific Interest and a Forest Nature Reserve</w:t>
      </w:r>
      <w:r>
        <w:t xml:space="preserve">.  This group includes the Old Wood of </w:t>
      </w:r>
      <w:proofErr w:type="spellStart"/>
      <w:r>
        <w:t>Meggernie</w:t>
      </w:r>
      <w:proofErr w:type="spellEnd"/>
      <w:r>
        <w:t xml:space="preserve">, belonging to a private estate. </w:t>
      </w:r>
    </w:p>
    <w:p w14:paraId="1334D161" w14:textId="77777777" w:rsidR="00F72067" w:rsidRDefault="00F72067" w:rsidP="00C077C0">
      <w:r>
        <w:t>The privately owned Amat forest is in the Northern group. The Amat forest and the woods within the Rannoch Group experience average rainfall for Scotland but relatively cool winters – although not as cold as those in the Deeside, Speyside or Strath Glass Groups. It has suffered from felling and fires in the past, but now has deer fencing in place, and natural regeneration reportedly occurs.</w:t>
      </w:r>
      <w:commentRangeEnd w:id="3"/>
      <w:r w:rsidR="00426554">
        <w:rPr>
          <w:rStyle w:val="CommentReference"/>
        </w:rPr>
        <w:commentReference w:id="3"/>
      </w:r>
    </w:p>
    <w:p w14:paraId="6C512BF6" w14:textId="0B1CEE35" w:rsidR="00F72067" w:rsidRPr="00607324" w:rsidRDefault="00F72067" w:rsidP="00C077C0">
      <w:r>
        <w:t xml:space="preserve">The Southern sites are Black Mount, Glen Orchy and </w:t>
      </w:r>
      <w:proofErr w:type="spellStart"/>
      <w:r>
        <w:t>Tyndrum</w:t>
      </w:r>
      <w:proofErr w:type="spellEnd"/>
      <w:r>
        <w:t>. All of these experience very high rainfall and relatively mild winters. Glen Orchy is publicly owned by FLS and has suffered in the past from non-native conifer planting. The other two sites are privately owned and have been subject to deer fencing. In terms of rainfall, these are some of the wettest sites.</w:t>
      </w:r>
    </w:p>
    <w:p w14:paraId="01105F47" w14:textId="77777777" w:rsidR="00F72067" w:rsidRDefault="00F72067" w:rsidP="00F72067">
      <w:pPr>
        <w:pStyle w:val="Heading2"/>
        <w:numPr>
          <w:ilvl w:val="1"/>
          <w:numId w:val="8"/>
        </w:numPr>
      </w:pPr>
      <w:r>
        <w:t>Changes in the pinewood habitat since 1971</w:t>
      </w:r>
    </w:p>
    <w:p w14:paraId="6C23D146" w14:textId="69070FD8" w:rsidR="00F72067" w:rsidRDefault="00F72067" w:rsidP="00C077C0">
      <w:commentRangeStart w:id="4"/>
      <w:r w:rsidRPr="00D32F32">
        <w:t>At the time of the first Bunce survey in 1971, c</w:t>
      </w:r>
      <w:r>
        <w:t>onservationists and woodland managers realised</w:t>
      </w:r>
      <w:r w:rsidRPr="00D32F32">
        <w:t xml:space="preserve"> that the </w:t>
      </w:r>
      <w:r>
        <w:t>p</w:t>
      </w:r>
      <w:r w:rsidRPr="00D32F32">
        <w:t>inewoods were under threat from ploughing and planting o</w:t>
      </w:r>
      <w:r>
        <w:t>f</w:t>
      </w:r>
      <w:r w:rsidRPr="00D32F32">
        <w:t xml:space="preserve"> non-native</w:t>
      </w:r>
      <w:r>
        <w:t xml:space="preserve"> conifer</w:t>
      </w:r>
      <w:r w:rsidRPr="00D32F32">
        <w:t xml:space="preserve"> species and overgrazing from deer and also sheep. </w:t>
      </w:r>
      <w:r>
        <w:t xml:space="preserve">In 1963, alarmingly, </w:t>
      </w:r>
      <w:r w:rsidRPr="00F05C78">
        <w:t>McVean</w:t>
      </w:r>
      <w:r>
        <w:t xml:space="preserve"> came to the conclusion </w:t>
      </w:r>
      <w:r w:rsidRPr="00484923">
        <w:t xml:space="preserve">that the </w:t>
      </w:r>
      <w:r>
        <w:t xml:space="preserve">‘existing </w:t>
      </w:r>
      <w:r w:rsidRPr="00484923">
        <w:t xml:space="preserve">pure pine stands are largely artifacts </w:t>
      </w:r>
      <w:r w:rsidRPr="00484923">
        <w:lastRenderedPageBreak/>
        <w:t xml:space="preserve">and they have a limited future as self-maintaining entities; intensive management will be required for the native forests to be retained as they are and it may well be that the </w:t>
      </w:r>
      <w:r w:rsidRPr="00640DCD">
        <w:t>native</w:t>
      </w:r>
      <w:r>
        <w:t xml:space="preserve"> </w:t>
      </w:r>
      <w:r w:rsidRPr="00484923">
        <w:t>pine</w:t>
      </w:r>
      <w:r>
        <w:t>,</w:t>
      </w:r>
      <w:r w:rsidRPr="00484923">
        <w:t xml:space="preserve"> </w:t>
      </w:r>
      <w:r w:rsidRPr="00122E71">
        <w:rPr>
          <w:i/>
          <w:iCs/>
        </w:rPr>
        <w:t>Pinus sylvestris</w:t>
      </w:r>
      <w:r>
        <w:rPr>
          <w:i/>
          <w:iCs/>
        </w:rPr>
        <w:t>,</w:t>
      </w:r>
      <w:r w:rsidRPr="00640DCD">
        <w:t xml:space="preserve"> </w:t>
      </w:r>
      <w:r w:rsidRPr="00484923">
        <w:t>will only achieve self-perpetuation in a forest of mixed composition and intimately mixed age structure which has yet to be produced</w:t>
      </w:r>
      <w:r>
        <w:t xml:space="preserve">’ </w:t>
      </w:r>
      <w:r>
        <w:rPr>
          <w:noProof/>
        </w:rPr>
        <w:t>(Mc</w:t>
      </w:r>
      <w:r w:rsidR="00662F3B">
        <w:rPr>
          <w:noProof/>
        </w:rPr>
        <w:t>V</w:t>
      </w:r>
      <w:r>
        <w:rPr>
          <w:noProof/>
        </w:rPr>
        <w:t>ean, 1963)</w:t>
      </w:r>
      <w:r>
        <w:t>.</w:t>
      </w:r>
      <w:r w:rsidRPr="00B63151">
        <w:t xml:space="preserve"> </w:t>
      </w:r>
      <w:r>
        <w:t>In 1975, the o</w:t>
      </w:r>
      <w:r w:rsidRPr="00B63151">
        <w:t>nly forest with</w:t>
      </w:r>
      <w:r>
        <w:t xml:space="preserve"> a</w:t>
      </w:r>
      <w:r w:rsidRPr="00B63151">
        <w:t xml:space="preserve"> plan for expansion</w:t>
      </w:r>
      <w:r w:rsidRPr="00640DCD">
        <w:t xml:space="preserve"> of native </w:t>
      </w:r>
      <w:r w:rsidRPr="00122E71">
        <w:rPr>
          <w:i/>
          <w:iCs/>
        </w:rPr>
        <w:t>P</w:t>
      </w:r>
      <w:r>
        <w:rPr>
          <w:i/>
          <w:iCs/>
        </w:rPr>
        <w:t xml:space="preserve">inus </w:t>
      </w:r>
      <w:r w:rsidRPr="00122E71">
        <w:rPr>
          <w:i/>
          <w:iCs/>
        </w:rPr>
        <w:t>sylvestris</w:t>
      </w:r>
      <w:r w:rsidRPr="00B63151">
        <w:t xml:space="preserve"> was </w:t>
      </w:r>
      <w:r>
        <w:t xml:space="preserve">the </w:t>
      </w:r>
      <w:r w:rsidRPr="00B63151">
        <w:t>Black Wood of Rannoch</w:t>
      </w:r>
      <w:r>
        <w:t xml:space="preserve"> </w:t>
      </w:r>
      <w:r>
        <w:rPr>
          <w:noProof/>
        </w:rPr>
        <w:t>(Bain, 2013)</w:t>
      </w:r>
      <w:r>
        <w:t>.</w:t>
      </w:r>
      <w:commentRangeEnd w:id="4"/>
      <w:r w:rsidR="003F3341">
        <w:rPr>
          <w:rStyle w:val="CommentReference"/>
        </w:rPr>
        <w:commentReference w:id="4"/>
      </w:r>
    </w:p>
    <w:p w14:paraId="35206A42" w14:textId="77777777" w:rsidR="00F72067" w:rsidRPr="0039246B" w:rsidRDefault="00F72067" w:rsidP="00C077C0">
      <w:r w:rsidRPr="0039246B">
        <w:t xml:space="preserve">At the </w:t>
      </w:r>
      <w:r>
        <w:t xml:space="preserve">2024 </w:t>
      </w:r>
      <w:r w:rsidRPr="0039246B">
        <w:t xml:space="preserve">Fort William </w:t>
      </w:r>
      <w:r>
        <w:t xml:space="preserve">conference, a number of key issues were discussed. </w:t>
      </w:r>
      <w:commentRangeStart w:id="5"/>
      <w:r>
        <w:t>Each of these issues affect the tree structure and composition of the pinewoods, the ground flora and soils in different ways.</w:t>
      </w:r>
      <w:commentRangeEnd w:id="5"/>
      <w:r w:rsidR="001942F0">
        <w:rPr>
          <w:rStyle w:val="CommentReference"/>
        </w:rPr>
        <w:commentReference w:id="5"/>
      </w:r>
      <w:r>
        <w:t xml:space="preserve"> These key themes, which are often interrelated, are outlined as follows:</w:t>
      </w:r>
    </w:p>
    <w:p w14:paraId="379946B6" w14:textId="77777777" w:rsidR="00F72067" w:rsidRDefault="00F72067" w:rsidP="00C077C0">
      <w:r>
        <w:rPr>
          <w:b/>
          <w:bCs/>
          <w:i/>
          <w:iCs/>
        </w:rPr>
        <w:t>N</w:t>
      </w:r>
      <w:r w:rsidRPr="00D05E41">
        <w:rPr>
          <w:b/>
          <w:bCs/>
          <w:i/>
          <w:iCs/>
        </w:rPr>
        <w:t xml:space="preserve">on-native </w:t>
      </w:r>
      <w:r>
        <w:rPr>
          <w:b/>
          <w:bCs/>
          <w:i/>
          <w:iCs/>
        </w:rPr>
        <w:t xml:space="preserve">tree planting and removal: </w:t>
      </w:r>
      <w:r w:rsidRPr="000D2FFA">
        <w:t>In the 1960s and 70s, there was much planting of</w:t>
      </w:r>
      <w:commentRangeStart w:id="6"/>
      <w:r w:rsidRPr="000D2FFA">
        <w:t xml:space="preserve"> Sitka </w:t>
      </w:r>
      <w:r>
        <w:t>s</w:t>
      </w:r>
      <w:r w:rsidRPr="000D2FFA">
        <w:t>pruce (</w:t>
      </w:r>
      <w:r w:rsidRPr="000D2FFA">
        <w:rPr>
          <w:i/>
          <w:iCs/>
        </w:rPr>
        <w:t xml:space="preserve">Picea </w:t>
      </w:r>
      <w:proofErr w:type="spellStart"/>
      <w:r w:rsidRPr="000D2FFA">
        <w:rPr>
          <w:i/>
          <w:iCs/>
        </w:rPr>
        <w:t>sitchensis</w:t>
      </w:r>
      <w:proofErr w:type="spellEnd"/>
      <w:r w:rsidRPr="000D2FFA">
        <w:t xml:space="preserve">) </w:t>
      </w:r>
      <w:commentRangeEnd w:id="6"/>
      <w:r w:rsidR="001942F0">
        <w:rPr>
          <w:rStyle w:val="CommentReference"/>
        </w:rPr>
        <w:commentReference w:id="6"/>
      </w:r>
      <w:r w:rsidRPr="000D2FFA">
        <w:t>and other non-native conifers</w:t>
      </w:r>
      <w:r>
        <w:t xml:space="preserve"> across Scotland, including around the pinewoods </w:t>
      </w:r>
      <w:r>
        <w:rPr>
          <w:noProof/>
        </w:rPr>
        <w:t>(Bunce et al., 2014)</w:t>
      </w:r>
      <w:r w:rsidRPr="000D2FFA">
        <w:t>.</w:t>
      </w:r>
      <w:r>
        <w:t xml:space="preserve"> Coniferous planting has a considerable effect on the associated ground flora, with little able to survive in the dense shade </w:t>
      </w:r>
      <w:r>
        <w:rPr>
          <w:noProof/>
        </w:rPr>
        <w:t>(Carey et al., 2008)</w:t>
      </w:r>
      <w:r>
        <w:t xml:space="preserve">. It also has considerable effects on many aspects of landscape ecology, such as drainage patterns </w:t>
      </w:r>
      <w:r>
        <w:rPr>
          <w:noProof/>
        </w:rPr>
        <w:t>(Bunce et al., 2014)</w:t>
      </w:r>
      <w:r>
        <w:t xml:space="preserve">. </w:t>
      </w:r>
      <w:r w:rsidRPr="00D32F32">
        <w:t>In 1977, the Forestry Commission</w:t>
      </w:r>
      <w:r>
        <w:t>’</w:t>
      </w:r>
      <w:r w:rsidRPr="00D32F32">
        <w:t xml:space="preserve">s Native </w:t>
      </w:r>
      <w:r>
        <w:t>P</w:t>
      </w:r>
      <w:r w:rsidRPr="00D32F32">
        <w:t>inewood Grant Scheme</w:t>
      </w:r>
      <w:r>
        <w:t xml:space="preserve"> </w:t>
      </w:r>
      <w:r w:rsidRPr="00D32F32">
        <w:t>encourage</w:t>
      </w:r>
      <w:r>
        <w:t>d</w:t>
      </w:r>
      <w:r w:rsidRPr="00D32F32">
        <w:t xml:space="preserve"> landowners to restore and increase the</w:t>
      </w:r>
      <w:r>
        <w:t xml:space="preserve"> extent of </w:t>
      </w:r>
      <w:r w:rsidRPr="00D32F32">
        <w:t>pinewoods in specific areas. Only local</w:t>
      </w:r>
      <w:r>
        <w:t>ly</w:t>
      </w:r>
      <w:r w:rsidRPr="00D32F32">
        <w:t xml:space="preserve"> sourced seeds </w:t>
      </w:r>
      <w:r>
        <w:t>were allowed to</w:t>
      </w:r>
      <w:r w:rsidRPr="00D32F32">
        <w:t xml:space="preserve"> be planted</w:t>
      </w:r>
      <w:r>
        <w:t xml:space="preserve"> </w:t>
      </w:r>
      <w:r>
        <w:rPr>
          <w:noProof/>
        </w:rPr>
        <w:t>(Bain, 2013)</w:t>
      </w:r>
      <w:r w:rsidRPr="00D32F32">
        <w:t>.</w:t>
      </w:r>
      <w:r>
        <w:t xml:space="preserve"> Further protection was forthcoming i</w:t>
      </w:r>
      <w:r w:rsidRPr="00D32F32">
        <w:t>n the 1980s,</w:t>
      </w:r>
      <w:r>
        <w:t xml:space="preserve"> when</w:t>
      </w:r>
      <w:r w:rsidRPr="00D32F32">
        <w:t xml:space="preserve"> sites designated as SSSI were prote</w:t>
      </w:r>
      <w:r>
        <w:t>c</w:t>
      </w:r>
      <w:r w:rsidRPr="00D32F32">
        <w:t>ted from felling and other harmful activities. Grants were made available for deer fencing</w:t>
      </w:r>
      <w:r>
        <w:t xml:space="preserve"> </w:t>
      </w:r>
      <w:r>
        <w:rPr>
          <w:noProof/>
        </w:rPr>
        <w:t>(Bain, 2013)</w:t>
      </w:r>
      <w:r w:rsidRPr="00D32F32">
        <w:t>.</w:t>
      </w:r>
    </w:p>
    <w:p w14:paraId="0E3A7AB4" w14:textId="77777777" w:rsidR="00F72067" w:rsidRDefault="00F72067" w:rsidP="00C077C0">
      <w:commentRangeStart w:id="7"/>
      <w:r>
        <w:rPr>
          <w:b/>
          <w:bCs/>
          <w:i/>
          <w:iCs/>
        </w:rPr>
        <w:t>Regeneration of n</w:t>
      </w:r>
      <w:r w:rsidRPr="00D05E41">
        <w:rPr>
          <w:b/>
          <w:bCs/>
          <w:i/>
          <w:iCs/>
        </w:rPr>
        <w:t>ative</w:t>
      </w:r>
      <w:r>
        <w:rPr>
          <w:b/>
          <w:bCs/>
          <w:i/>
          <w:iCs/>
        </w:rPr>
        <w:t xml:space="preserve"> tree</w:t>
      </w:r>
      <w:r w:rsidRPr="00D05E41">
        <w:rPr>
          <w:b/>
          <w:bCs/>
          <w:i/>
          <w:iCs/>
        </w:rPr>
        <w:t xml:space="preserve"> species</w:t>
      </w:r>
      <w:r>
        <w:rPr>
          <w:b/>
          <w:bCs/>
          <w:i/>
          <w:iCs/>
        </w:rPr>
        <w:t xml:space="preserve">: </w:t>
      </w:r>
      <w:r w:rsidRPr="006F347E">
        <w:t>Regeneration depends on both the growing conditions, and external factors, such as incentives</w:t>
      </w:r>
      <w:r>
        <w:t xml:space="preserve"> for the encouragement of natural regeneration</w:t>
      </w:r>
      <w:r w:rsidRPr="006F347E">
        <w:t>.</w:t>
      </w:r>
      <w:r>
        <w:rPr>
          <w:b/>
          <w:bCs/>
          <w:i/>
          <w:iCs/>
        </w:rPr>
        <w:t xml:space="preserve"> </w:t>
      </w:r>
      <w:r>
        <w:t xml:space="preserve">On thinner soils or light heather cover, regeneration can be plentiful </w:t>
      </w:r>
      <w:r>
        <w:rPr>
          <w:noProof/>
        </w:rPr>
        <w:t>(Scott et al., 2000; Miles and Kinnaird, 1979; Mcvean, 1963)</w:t>
      </w:r>
      <w:r>
        <w:t>.</w:t>
      </w:r>
      <w:commentRangeEnd w:id="7"/>
      <w:r w:rsidR="00C90A0B">
        <w:rPr>
          <w:rStyle w:val="CommentReference"/>
        </w:rPr>
        <w:commentReference w:id="7"/>
      </w:r>
      <w:r>
        <w:t xml:space="preserve"> In the 1990s, t</w:t>
      </w:r>
      <w:r w:rsidRPr="00754BDD">
        <w:t>he UK Biodiversity Action Plan (BAP, 1994)</w:t>
      </w:r>
      <w:r>
        <w:t xml:space="preserve"> specified objectives to m</w:t>
      </w:r>
      <w:r w:rsidRPr="00754BDD">
        <w:t>aintain remnant native pinewood areas listed on the Caledonian Pinewood Inventory and restore their natural diversity of composition and structure</w:t>
      </w:r>
      <w:r>
        <w:t>, r</w:t>
      </w:r>
      <w:r w:rsidRPr="0055543C">
        <w:rPr>
          <w:rFonts w:asciiTheme="minorHAnsi" w:eastAsia="SimSun" w:hAnsiTheme="minorHAnsi" w:cstheme="minorHAnsi"/>
          <w:szCs w:val="20"/>
          <w:lang w:eastAsia="en-GB"/>
        </w:rPr>
        <w:t>egenerate and expand the current wooded area of remnant native pinewoods</w:t>
      </w:r>
      <w:r>
        <w:t xml:space="preserve">, and encourage natural regeneration </w:t>
      </w:r>
      <w:r>
        <w:rPr>
          <w:noProof/>
        </w:rPr>
        <w:t>(Bap, 1994)</w:t>
      </w:r>
      <w:r>
        <w:t xml:space="preserve">. State support for </w:t>
      </w:r>
      <w:r w:rsidRPr="0055543C">
        <w:t>Caledonian Pinewood restoration</w:t>
      </w:r>
      <w:r>
        <w:t xml:space="preserve"> improved, with a </w:t>
      </w:r>
      <w:r w:rsidRPr="0055543C">
        <w:t>series of Caledonian Forest Reserves</w:t>
      </w:r>
      <w:r>
        <w:t xml:space="preserve"> being established in state owned forests, targeted felling of non-natives was supported as a management practice, along with attempts to control deer populations </w:t>
      </w:r>
      <w:r>
        <w:rPr>
          <w:noProof/>
        </w:rPr>
        <w:t>(Rainey and Holmes, 2023)</w:t>
      </w:r>
      <w:r>
        <w:t xml:space="preserve">. These interventions were supported by </w:t>
      </w:r>
      <w:r w:rsidRPr="00006CD9">
        <w:t>improved Woodland Grant Schemes (1988-2003)</w:t>
      </w:r>
      <w:r>
        <w:t xml:space="preserve">. However, the 2000s did not bring much further improvement in support </w:t>
      </w:r>
      <w:r>
        <w:rPr>
          <w:noProof/>
        </w:rPr>
        <w:t>(Bain, 2013)</w:t>
      </w:r>
      <w:r>
        <w:t xml:space="preserve">. </w:t>
      </w:r>
    </w:p>
    <w:p w14:paraId="748202E9" w14:textId="77777777" w:rsidR="00F72067" w:rsidRDefault="00F72067" w:rsidP="00C077C0">
      <w:r>
        <w:rPr>
          <w:b/>
          <w:bCs/>
          <w:i/>
          <w:iCs/>
        </w:rPr>
        <w:t>Impact of d</w:t>
      </w:r>
      <w:r w:rsidRPr="00D05E41">
        <w:rPr>
          <w:b/>
          <w:bCs/>
          <w:i/>
          <w:iCs/>
        </w:rPr>
        <w:t>eer</w:t>
      </w:r>
      <w:r>
        <w:rPr>
          <w:b/>
          <w:bCs/>
          <w:i/>
          <w:iCs/>
        </w:rPr>
        <w:t xml:space="preserve">: </w:t>
      </w:r>
      <w:r w:rsidRPr="00512C47">
        <w:t>In Scotland, it is estimated that deer numbers have doubled from 500,000 in 1990 to around 1 million</w:t>
      </w:r>
      <w:r>
        <w:t xml:space="preserve"> now </w:t>
      </w:r>
      <w:r>
        <w:rPr>
          <w:noProof/>
        </w:rPr>
        <w:t>(Scottish Government, 2025)</w:t>
      </w:r>
      <w:r>
        <w:t xml:space="preserve">. The effect of deer browsing in limiting regeneration is well documented, for example in </w:t>
      </w:r>
      <w:r>
        <w:rPr>
          <w:noProof/>
        </w:rPr>
        <w:t>Cameron (1995); Palmer and Truscott (2003); Palmer et al. (2007); Holloway (1967)</w:t>
      </w:r>
      <w:r w:rsidRPr="003D536C">
        <w:t xml:space="preserve">. Deer also have been shown to affect the composition of the ground flora in the pinewoods </w:t>
      </w:r>
      <w:r>
        <w:rPr>
          <w:noProof/>
        </w:rPr>
        <w:t>(Baines et al., 1994)</w:t>
      </w:r>
      <w:r w:rsidRPr="003D536C">
        <w:t>.</w:t>
      </w:r>
    </w:p>
    <w:p w14:paraId="3AB69556" w14:textId="77777777" w:rsidR="00F72067" w:rsidRDefault="00F72067" w:rsidP="00C077C0">
      <w:r w:rsidRPr="00873A82">
        <w:rPr>
          <w:b/>
          <w:bCs/>
          <w:i/>
          <w:iCs/>
        </w:rPr>
        <w:t xml:space="preserve">Climate change: </w:t>
      </w:r>
      <w:r w:rsidRPr="00873A82">
        <w:t xml:space="preserve">Since 1970, Scotland’s climatic trend has been towards warmer mean temperatures and higher rainfall, particularly in the winter </w:t>
      </w:r>
      <w:r w:rsidRPr="00873A82">
        <w:rPr>
          <w:noProof/>
        </w:rPr>
        <w:t>(Met Office, 2025b)</w:t>
      </w:r>
      <w:r w:rsidRPr="00873A82">
        <w:t>. Both factors are likely to affect tree regeneration, and the composition of the associated ground flora, and to some extent, soil quality</w:t>
      </w:r>
      <w:commentRangeStart w:id="8"/>
      <w:r w:rsidRPr="00873A82">
        <w:t>. The pinewoods are home to a unique ground flora</w:t>
      </w:r>
      <w:commentRangeEnd w:id="8"/>
      <w:r w:rsidR="003C65FC">
        <w:rPr>
          <w:rStyle w:val="CommentReference"/>
        </w:rPr>
        <w:commentReference w:id="8"/>
      </w:r>
      <w:r w:rsidRPr="00873A82">
        <w:t xml:space="preserve">, including nationally scarce species such as the </w:t>
      </w:r>
      <w:r>
        <w:t>c</w:t>
      </w:r>
      <w:r w:rsidRPr="00873A82">
        <w:t xml:space="preserve">reeping </w:t>
      </w:r>
      <w:r>
        <w:t>l</w:t>
      </w:r>
      <w:r w:rsidRPr="00873A82">
        <w:t xml:space="preserve">ady’s-tresses orchid </w:t>
      </w:r>
      <w:r>
        <w:t>(</w:t>
      </w:r>
      <w:proofErr w:type="spellStart"/>
      <w:r w:rsidRPr="00873A82">
        <w:rPr>
          <w:i/>
          <w:iCs/>
        </w:rPr>
        <w:t>Goodyera</w:t>
      </w:r>
      <w:proofErr w:type="spellEnd"/>
      <w:r w:rsidRPr="00873A82">
        <w:rPr>
          <w:i/>
          <w:iCs/>
        </w:rPr>
        <w:t xml:space="preserve"> repens</w:t>
      </w:r>
      <w:r>
        <w:rPr>
          <w:i/>
          <w:iCs/>
        </w:rPr>
        <w:t>)</w:t>
      </w:r>
      <w:r w:rsidRPr="00873A82">
        <w:rPr>
          <w:i/>
          <w:iCs/>
        </w:rPr>
        <w:t xml:space="preserve"> </w:t>
      </w:r>
      <w:r w:rsidRPr="00873A82">
        <w:rPr>
          <w:noProof/>
        </w:rPr>
        <w:t xml:space="preserve">(Wood and Bunce, </w:t>
      </w:r>
      <w:commentRangeStart w:id="9"/>
      <w:r w:rsidRPr="00873A82">
        <w:rPr>
          <w:noProof/>
        </w:rPr>
        <w:t>2016</w:t>
      </w:r>
      <w:commentRangeEnd w:id="9"/>
      <w:r w:rsidR="003C65FC">
        <w:rPr>
          <w:rStyle w:val="CommentReference"/>
        </w:rPr>
        <w:commentReference w:id="9"/>
      </w:r>
      <w:r w:rsidRPr="00873A82">
        <w:rPr>
          <w:noProof/>
        </w:rPr>
        <w:t>)</w:t>
      </w:r>
      <w:r w:rsidRPr="00873A82">
        <w:t>. Ground flora is likely to be affected by changes in climate, as well as grazing and the associated tree composition</w:t>
      </w:r>
      <w:r w:rsidRPr="00873A82">
        <w:rPr>
          <w:i/>
          <w:iCs/>
        </w:rPr>
        <w:t xml:space="preserve"> </w:t>
      </w:r>
      <w:r w:rsidRPr="00873A82">
        <w:rPr>
          <w:noProof/>
        </w:rPr>
        <w:t>(Ford et al., 2018; Gill and Morgan, 2009)</w:t>
      </w:r>
      <w:r w:rsidRPr="00873A82">
        <w:t xml:space="preserve"> as the availability of shade will has significant effects on the ground flora assemblages </w:t>
      </w:r>
      <w:r w:rsidRPr="00873A82">
        <w:rPr>
          <w:noProof/>
        </w:rPr>
        <w:t>(Peterken and Francis, 1999)</w:t>
      </w:r>
      <w:r w:rsidRPr="00873A82">
        <w:t>.</w:t>
      </w:r>
    </w:p>
    <w:p w14:paraId="098BE547" w14:textId="77777777" w:rsidR="00F72067" w:rsidRPr="009E4E84" w:rsidRDefault="00F72067" w:rsidP="00C077C0">
      <w:r w:rsidRPr="000E5921">
        <w:rPr>
          <w:b/>
          <w:bCs/>
          <w:i/>
          <w:iCs/>
        </w:rPr>
        <w:lastRenderedPageBreak/>
        <w:t>Additional threats:</w:t>
      </w:r>
      <w:r w:rsidRPr="00E63FA4">
        <w:rPr>
          <w:b/>
          <w:bCs/>
        </w:rPr>
        <w:t xml:space="preserve"> </w:t>
      </w:r>
      <w:r w:rsidRPr="009E4E84">
        <w:t xml:space="preserve">Threats such as tree disease, storm damage, atmospheric pollution and </w:t>
      </w:r>
      <w:r>
        <w:t>fire also pose challenges for the pinewood habitat.</w:t>
      </w:r>
    </w:p>
    <w:p w14:paraId="56E790E2" w14:textId="77777777" w:rsidR="00F72067" w:rsidRDefault="00F72067" w:rsidP="00C077C0">
      <w:pPr>
        <w:rPr>
          <w:b/>
          <w:bCs/>
          <w:i/>
          <w:iCs/>
        </w:rPr>
      </w:pPr>
    </w:p>
    <w:p w14:paraId="0CAE21DF" w14:textId="77777777" w:rsidR="00F72067" w:rsidRPr="00EE3EC1" w:rsidRDefault="00F72067" w:rsidP="00C077C0">
      <w:r w:rsidRPr="00EE3EC1">
        <w:rPr>
          <w:b/>
          <w:bCs/>
        </w:rPr>
        <w:t>1.3 Impact of changes in management, ownership and grants</w:t>
      </w:r>
    </w:p>
    <w:p w14:paraId="0F560D7B" w14:textId="77777777" w:rsidR="00F72067" w:rsidRDefault="00F72067" w:rsidP="00C077C0">
      <w:r>
        <w:t xml:space="preserve">Since 1971, there have been different approaches, interventions and incentives in response to the highlighted issues. At a local level, each pinewood is managed according to different objectives, and with a greater or lesser intensity. This is often dictated by ownership and also geographical factors. Some of the sites have been damaged by fire in the past, such as Loch Arkaig, and management objectives have included attempts to restore the damaged areas. Other management interventions have included deer culling and fencing, and assisting natural regeneration with the planting of native seed. In theory, the outlook for native pinewoods as a habitat should be better now than it has been for the last 300 years </w:t>
      </w:r>
      <w:r>
        <w:rPr>
          <w:noProof/>
        </w:rPr>
        <w:t>(Tayside Biodiversity Partnership, 2002)</w:t>
      </w:r>
      <w:r>
        <w:t xml:space="preserve">. In recent years forestry policy has moved to recognise the value of native pinewood from a habitat, landscape and cultural perspective and has put in place a number of initiatives to protect and enhance its status and extent. The government, through Scottish Forestry, encourages forestry expansion through the payment of grants where creation of new woodland is in accordance with forestry and conservation policies. The Scottish Forestry Strategy contained a commitment to achieve </w:t>
      </w:r>
      <w:commentRangeStart w:id="10"/>
      <w:r>
        <w:t>the</w:t>
      </w:r>
      <w:commentRangeEnd w:id="10"/>
      <w:r w:rsidR="009C37C1">
        <w:rPr>
          <w:rStyle w:val="CommentReference"/>
        </w:rPr>
        <w:commentReference w:id="10"/>
      </w:r>
      <w:r>
        <w:t xml:space="preserve"> current Action Plan targets </w:t>
      </w:r>
      <w:r>
        <w:rPr>
          <w:noProof/>
        </w:rPr>
        <w:t>(Tayside Biodiversity Partnership, 2002)</w:t>
      </w:r>
      <w:r>
        <w:t>.</w:t>
      </w:r>
      <w:r w:rsidRPr="00754BDD">
        <w:t xml:space="preserve"> </w:t>
      </w:r>
      <w:r>
        <w:t xml:space="preserve">Financial and advisory support for native woodland management and establishment is also available </w:t>
      </w:r>
      <w:r>
        <w:rPr>
          <w:noProof/>
        </w:rPr>
        <w:t>(Scottish Forestry, 2025)</w:t>
      </w:r>
      <w:r>
        <w:t xml:space="preserve">. In 1971, 68% of the pinewoods were in private ownership and 18% in the public sector. Now, </w:t>
      </w:r>
      <w:commentRangeStart w:id="11"/>
      <w:r>
        <w:t xml:space="preserve">over 30% </w:t>
      </w:r>
      <w:commentRangeEnd w:id="11"/>
      <w:r w:rsidR="009C37C1">
        <w:rPr>
          <w:rStyle w:val="CommentReference"/>
        </w:rPr>
        <w:commentReference w:id="11"/>
      </w:r>
      <w:r>
        <w:t xml:space="preserve">of the surveyed pinewoods are in the public ownership of FLS. Private ownership has dropped to around a third of the sites, and there has been an increase in sites owned by charities or conservation groups which make up the remainder. </w:t>
      </w:r>
    </w:p>
    <w:p w14:paraId="734FD443" w14:textId="77777777" w:rsidR="00F72067" w:rsidRPr="006D0FC0" w:rsidRDefault="00F72067" w:rsidP="00C077C0"/>
    <w:p w14:paraId="588F1177" w14:textId="77777777" w:rsidR="00F72067" w:rsidRDefault="00F72067" w:rsidP="00C077C0">
      <w:pPr>
        <w:rPr>
          <w:b/>
          <w:bCs/>
        </w:rPr>
      </w:pPr>
      <w:r>
        <w:rPr>
          <w:b/>
          <w:bCs/>
        </w:rPr>
        <w:t xml:space="preserve">2. </w:t>
      </w:r>
      <w:r w:rsidRPr="006D0FC0">
        <w:rPr>
          <w:b/>
          <w:bCs/>
        </w:rPr>
        <w:t xml:space="preserve">Data Collected </w:t>
      </w:r>
    </w:p>
    <w:p w14:paraId="039DD747" w14:textId="77777777" w:rsidR="00F72067" w:rsidRDefault="00F72067" w:rsidP="00C077C0">
      <w:r>
        <w:t xml:space="preserve">The Bunce survey collects a wide range of data that can aid the exploration of many of the issues facing the native pinewoods. The range of repeat measurements include data on ground flora, trees, saplings and shrubs, habitat descriptions, and soil pH and loss on ignition. The methods for collecting these data are described fully in </w:t>
      </w:r>
      <w:r>
        <w:rPr>
          <w:noProof/>
        </w:rPr>
        <w:t>Wood and Bunce (2016)</w:t>
      </w:r>
      <w:r>
        <w:t>.  In summary, within each site 16 plots are laid out, originally placed in a random dispersed manner. Each plot is 200m square, with a concentric nested structure to aid botanical searching</w:t>
      </w:r>
      <w:r w:rsidRPr="00640DCD">
        <w:t xml:space="preserve"> and that allows for the estimation of species-area relationships </w:t>
      </w:r>
      <w:r>
        <w:rPr>
          <w:noProof/>
        </w:rPr>
        <w:t>(Kunin et al., 2018)</w:t>
      </w:r>
      <w:r w:rsidRPr="00640DCD">
        <w:t xml:space="preserve">. </w:t>
      </w:r>
      <w:r>
        <w:t xml:space="preserve"> In 2018-22 (later referred to as the ‘2022 survey’), plots were revisited as near as possible to the original 1971 position, based on plots marked on a 1:10 000 Ordnance Survey (the British mapping agency) map, previous surveyor notes, and to some extent, previous tree diameter at breast height (</w:t>
      </w:r>
      <w:proofErr w:type="spellStart"/>
      <w:r>
        <w:t>dbh</w:t>
      </w:r>
      <w:proofErr w:type="spellEnd"/>
      <w:r>
        <w:t xml:space="preserve">) information </w:t>
      </w:r>
      <w:r>
        <w:rPr>
          <w:noProof/>
        </w:rPr>
        <w:t>(Smart and Wood, 2021)</w:t>
      </w:r>
      <w:r>
        <w:t>. A full census of the ground vegetation was recorded within these plots to the nearest 5% cover (or just ‘present’); firstly presence and % cover in the inner 2 x 2 m nest, then presence in each subsequent nest, and finally the % cover for the whole 200m</w:t>
      </w:r>
      <w:r w:rsidRPr="005A59F8">
        <w:rPr>
          <w:vertAlign w:val="superscript"/>
        </w:rPr>
        <w:t>2</w:t>
      </w:r>
      <w:r>
        <w:t xml:space="preserve"> quadrat. Litter, wood, rock, bare ground and water were also  included where present (as a % cover), as well as bryophytes from a restricted list </w:t>
      </w:r>
      <w:r>
        <w:rPr>
          <w:noProof/>
        </w:rPr>
        <w:t>(Smart and Wood, 2021)</w:t>
      </w:r>
      <w:r>
        <w:t>.</w:t>
      </w:r>
      <w:r w:rsidRPr="00925872">
        <w:rPr>
          <w:noProof/>
        </w:rPr>
        <w:t xml:space="preserve"> </w:t>
      </w:r>
    </w:p>
    <w:p w14:paraId="5958787D" w14:textId="77777777" w:rsidR="00F72067" w:rsidRDefault="00F72067" w:rsidP="00C077C0">
      <w:r>
        <w:t>For tree recording, the 200m</w:t>
      </w:r>
      <w:r w:rsidRPr="00486B08">
        <w:rPr>
          <w:vertAlign w:val="superscript"/>
        </w:rPr>
        <w:t>2</w:t>
      </w:r>
      <w:r>
        <w:t xml:space="preserve"> plot was divided into 4 quadrants. Trees of &gt;5cm diameter at breast height (</w:t>
      </w:r>
      <w:proofErr w:type="spellStart"/>
      <w:r>
        <w:t>dbh</w:t>
      </w:r>
      <w:proofErr w:type="spellEnd"/>
      <w:r>
        <w:t>) were recorded from each quarter. Saplings (height &lt;</w:t>
      </w:r>
      <w:proofErr w:type="spellStart"/>
      <w:r>
        <w:t>130cm</w:t>
      </w:r>
      <w:proofErr w:type="spellEnd"/>
      <w:r>
        <w:t xml:space="preserve"> and </w:t>
      </w:r>
      <w:proofErr w:type="spellStart"/>
      <w:r>
        <w:t>dbh</w:t>
      </w:r>
      <w:proofErr w:type="spellEnd"/>
      <w:r>
        <w:t xml:space="preserve"> &lt;</w:t>
      </w:r>
      <w:proofErr w:type="spellStart"/>
      <w:r>
        <w:t>5cm</w:t>
      </w:r>
      <w:proofErr w:type="spellEnd"/>
      <w:r>
        <w:t>) and shrubs (species such as hazel (</w:t>
      </w:r>
      <w:r w:rsidRPr="00E52E48">
        <w:rPr>
          <w:i/>
          <w:iCs/>
        </w:rPr>
        <w:t>Corylus avellana</w:t>
      </w:r>
      <w:r>
        <w:t>) and juniper (</w:t>
      </w:r>
      <w:r w:rsidRPr="00E52E48">
        <w:rPr>
          <w:i/>
          <w:iCs/>
        </w:rPr>
        <w:t>Juniperus</w:t>
      </w:r>
      <w:r>
        <w:t xml:space="preserve"> spp.) were recorded in quarters 1 and 3 only. A range of descriptive codes are recorded for each plot and site (including information such as presence of stumps, aquatic habitats, mammals, and land use).</w:t>
      </w:r>
    </w:p>
    <w:p w14:paraId="32132801" w14:textId="77777777" w:rsidR="00F72067" w:rsidRDefault="00F72067" w:rsidP="00C077C0">
      <w:r>
        <w:lastRenderedPageBreak/>
        <w:t>A soil sample was taken from the centre of each plot, using a 5cm diameter plastic tube to sample the top 15cm of soil. Fresh plant litter was removed before sampling but decomposing plant litter was included within the sample. Soil samples were kept at around 4</w:t>
      </w:r>
      <w:r w:rsidRPr="00486B08">
        <w:rPr>
          <w:vertAlign w:val="superscript"/>
        </w:rPr>
        <w:t>o</w:t>
      </w:r>
      <w:r>
        <w:t>C until laboratory processing for pH and loss on ignition (LOI). Samples were sieved with a 2mm sieve, then 10cm</w:t>
      </w:r>
      <w:r w:rsidRPr="001133DC">
        <w:rPr>
          <w:vertAlign w:val="superscript"/>
        </w:rPr>
        <w:t>3</w:t>
      </w:r>
      <w:r>
        <w:t xml:space="preserve"> of the sample were added to a beaker containing 10ml of deionised water. A pH reading was taken with a standard pH probe (calibrated with buffer solutions of pH 4 and pH 7). Samples were then airdried at 25</w:t>
      </w:r>
      <w:r w:rsidRPr="00754BDD">
        <w:rPr>
          <w:vertAlign w:val="superscript"/>
        </w:rPr>
        <w:t>o</w:t>
      </w:r>
      <w:r>
        <w:t xml:space="preserve">C for approximately 7 days. Another pH reading was taken from the dried soil at this point </w:t>
      </w:r>
      <w:r>
        <w:rPr>
          <w:noProof/>
        </w:rPr>
        <w:t>(Avery and Bascomb, 1974)</w:t>
      </w:r>
      <w:r>
        <w:t xml:space="preserve">. </w:t>
      </w:r>
    </w:p>
    <w:p w14:paraId="23F28AFA" w14:textId="77777777" w:rsidR="00F72067" w:rsidRPr="00FD2DCA" w:rsidRDefault="00F72067" w:rsidP="00C077C0">
      <w:r>
        <w:t xml:space="preserve">Loss on ignition and soil moisture were then determined. </w:t>
      </w:r>
      <w:r w:rsidRPr="00FD2DCA">
        <w:t xml:space="preserve">Loss on ignition is a simple method for determining soil organic matter. LOI was measured on a </w:t>
      </w:r>
      <w:r>
        <w:t>5</w:t>
      </w:r>
      <w:r w:rsidRPr="00FD2DCA">
        <w:t xml:space="preserve"> g air-dried sub-sample taken after sieving to 2 mm, then dried at 105 ◦C for 1</w:t>
      </w:r>
      <w:r>
        <w:t>2</w:t>
      </w:r>
      <w:r w:rsidRPr="00FD2DCA">
        <w:t xml:space="preserve"> h</w:t>
      </w:r>
      <w:r>
        <w:t>ours</w:t>
      </w:r>
      <w:r w:rsidRPr="00FD2DCA">
        <w:t xml:space="preserve"> to remove moisture, weighed, and then combusted at </w:t>
      </w:r>
      <w:r>
        <w:t>550</w:t>
      </w:r>
      <w:r w:rsidRPr="00FD2DCA">
        <w:t xml:space="preserve"> ◦C for 6 h</w:t>
      </w:r>
      <w:r>
        <w:t>ours</w:t>
      </w:r>
      <w:r w:rsidRPr="00FD2DCA">
        <w:t xml:space="preserve">. The cooled sample was then weighed and the LOI (%) </w:t>
      </w:r>
      <w:r>
        <w:t xml:space="preserve">and moisture content </w:t>
      </w:r>
      <w:r w:rsidRPr="00FD2DCA">
        <w:t xml:space="preserve">calculated. </w:t>
      </w:r>
    </w:p>
    <w:p w14:paraId="2ACA5FC7" w14:textId="77777777" w:rsidR="00F72067" w:rsidRDefault="00F72067" w:rsidP="00C077C0"/>
    <w:p w14:paraId="30C92FA8" w14:textId="77777777" w:rsidR="00F72067" w:rsidRPr="00E24D65" w:rsidRDefault="00F72067" w:rsidP="00C077C0">
      <w:pPr>
        <w:rPr>
          <w:b/>
          <w:bCs/>
        </w:rPr>
      </w:pPr>
      <w:r>
        <w:rPr>
          <w:b/>
          <w:bCs/>
        </w:rPr>
        <w:t xml:space="preserve">2.1 </w:t>
      </w:r>
      <w:r w:rsidRPr="00E24D65">
        <w:rPr>
          <w:b/>
          <w:bCs/>
        </w:rPr>
        <w:t>Data quality</w:t>
      </w:r>
    </w:p>
    <w:p w14:paraId="31361C1F" w14:textId="77777777" w:rsidR="00F72067" w:rsidRDefault="00F72067" w:rsidP="00C077C0">
      <w:r>
        <w:t xml:space="preserve">During the survey seasons, all survey teams were initially trained in person by the project leader or deputy. Teams were in regular contact with the management team to ensure consistency and quality in data recording according to criteria laid out in the field handbook </w:t>
      </w:r>
      <w:r>
        <w:rPr>
          <w:noProof/>
        </w:rPr>
        <w:t>(Smart and Wood, 2021)</w:t>
      </w:r>
      <w:r>
        <w:t>.</w:t>
      </w:r>
    </w:p>
    <w:p w14:paraId="03E18DCF" w14:textId="77777777" w:rsidR="00F72067" w:rsidRDefault="00F72067" w:rsidP="00C077C0">
      <w:r>
        <w:t xml:space="preserve">In 2018, the survey was undertaken for the first time using electronic data recording, using a bespoke recording form based on the ESRI Survey123 app </w:t>
      </w:r>
      <w:r>
        <w:rPr>
          <w:noProof/>
        </w:rPr>
        <w:t>(Esri, 2025)</w:t>
      </w:r>
      <w:r>
        <w:t xml:space="preserve"> incorporating the 1971 methodology. Electronic recording meant that certain errors could be eliminated (such as those related to poor handwriting and coding errors). Data could also be checked as soon as records were submitted from the field to the central database to ensure completeness. </w:t>
      </w:r>
    </w:p>
    <w:p w14:paraId="7F09E8AE" w14:textId="77777777" w:rsidR="00F72067" w:rsidRPr="001133DC" w:rsidRDefault="00F72067" w:rsidP="00C077C0">
      <w:pPr>
        <w:rPr>
          <w:color w:val="FF0000"/>
        </w:rPr>
      </w:pPr>
      <w:r>
        <w:t xml:space="preserve">The soil pH and loss on ignition were analysed using standardised protocols </w:t>
      </w:r>
      <w:r>
        <w:rPr>
          <w:noProof/>
        </w:rPr>
        <w:t>(Emmett et al., 2008; Avery and Bascomb, 1974)</w:t>
      </w:r>
      <w:r>
        <w:t xml:space="preserve"> incorporating quality control measures. </w:t>
      </w:r>
    </w:p>
    <w:p w14:paraId="3A305B0A" w14:textId="77777777" w:rsidR="00F72067" w:rsidRDefault="00F72067" w:rsidP="00C077C0"/>
    <w:p w14:paraId="6C2163F9" w14:textId="77777777" w:rsidR="00F72067" w:rsidRDefault="00F72067" w:rsidP="00C077C0">
      <w:pPr>
        <w:rPr>
          <w:b/>
          <w:bCs/>
        </w:rPr>
      </w:pPr>
      <w:r>
        <w:rPr>
          <w:b/>
          <w:bCs/>
        </w:rPr>
        <w:t xml:space="preserve">3. </w:t>
      </w:r>
      <w:r w:rsidRPr="00E24D65">
        <w:rPr>
          <w:b/>
          <w:bCs/>
        </w:rPr>
        <w:t xml:space="preserve">Summary of key findings </w:t>
      </w:r>
    </w:p>
    <w:p w14:paraId="58054363" w14:textId="77777777" w:rsidR="00F72067" w:rsidRPr="00442F2B" w:rsidRDefault="00F72067" w:rsidP="00C077C0">
      <w:r w:rsidRPr="00442F2B">
        <w:t>Key findings</w:t>
      </w:r>
      <w:r>
        <w:t xml:space="preserve"> from the 2022 Bunce survey</w:t>
      </w:r>
      <w:r w:rsidRPr="00442F2B">
        <w:t xml:space="preserve"> can be summarised</w:t>
      </w:r>
      <w:r>
        <w:t xml:space="preserve"> in relation to changes in tree structure and composition, ground flora and soils in response to </w:t>
      </w:r>
      <w:r w:rsidRPr="00442F2B">
        <w:t>the</w:t>
      </w:r>
      <w:r>
        <w:t xml:space="preserve"> pressures and themes identified above. Firstly, changes in non-native tree species and native species regeneration,</w:t>
      </w:r>
      <w:r w:rsidRPr="00F32CCC">
        <w:t xml:space="preserve"> </w:t>
      </w:r>
      <w:r>
        <w:t>and then deer management and climate change. There is also additional information included in the datasets that can be explored in future work, regarding threats such as tree disease, storm damage</w:t>
      </w:r>
      <w:r w:rsidRPr="00A707C5">
        <w:t xml:space="preserve"> </w:t>
      </w:r>
      <w:r>
        <w:t xml:space="preserve">and atmospheric deposition. </w:t>
      </w:r>
    </w:p>
    <w:p w14:paraId="5CF71796" w14:textId="77777777" w:rsidR="00F72067" w:rsidRDefault="00F72067" w:rsidP="00C077C0">
      <w:pPr>
        <w:rPr>
          <w:b/>
          <w:bCs/>
        </w:rPr>
      </w:pPr>
    </w:p>
    <w:p w14:paraId="0E50C18B" w14:textId="77777777" w:rsidR="00F72067" w:rsidRDefault="00F72067" w:rsidP="00C077C0">
      <w:pPr>
        <w:rPr>
          <w:b/>
          <w:bCs/>
        </w:rPr>
      </w:pPr>
      <w:r>
        <w:rPr>
          <w:b/>
          <w:bCs/>
        </w:rPr>
        <w:t xml:space="preserve">3.1 </w:t>
      </w:r>
      <w:commentRangeStart w:id="12"/>
      <w:r>
        <w:rPr>
          <w:b/>
          <w:bCs/>
        </w:rPr>
        <w:t>Tree structure and composition: native and non-native species</w:t>
      </w:r>
      <w:commentRangeEnd w:id="12"/>
      <w:r w:rsidR="001B27B1">
        <w:rPr>
          <w:rStyle w:val="CommentReference"/>
        </w:rPr>
        <w:commentReference w:id="12"/>
      </w:r>
    </w:p>
    <w:p w14:paraId="4B1DA220" w14:textId="5F52FDA8" w:rsidR="00F72067" w:rsidRDefault="00F72067" w:rsidP="00C077C0">
      <w:pPr>
        <w:rPr>
          <w:szCs w:val="20"/>
        </w:rPr>
      </w:pPr>
      <w:r w:rsidRPr="00494BA4">
        <w:t xml:space="preserve">Overall, 5,527 tree/shrub stems </w:t>
      </w:r>
      <w:r>
        <w:t>were</w:t>
      </w:r>
      <w:r w:rsidRPr="00494BA4">
        <w:t xml:space="preserve"> recorded in 1971 and 5,255 in the </w:t>
      </w:r>
      <w:r>
        <w:t>2018-2022</w:t>
      </w:r>
      <w:r w:rsidRPr="00494BA4">
        <w:t xml:space="preserve"> surveys</w:t>
      </w:r>
      <w:r>
        <w:t xml:space="preserve"> - </w:t>
      </w:r>
      <w:r w:rsidRPr="00494BA4">
        <w:t>a decrease of 4.9 %.  Scots pine (</w:t>
      </w:r>
      <w:r w:rsidRPr="00494BA4">
        <w:rPr>
          <w:i/>
          <w:iCs/>
        </w:rPr>
        <w:t>Pinus sylvestris</w:t>
      </w:r>
      <w:r w:rsidRPr="00494BA4">
        <w:t xml:space="preserve">) and </w:t>
      </w:r>
      <w:r>
        <w:t>b</w:t>
      </w:r>
      <w:r w:rsidRPr="00494BA4">
        <w:t>irch (</w:t>
      </w:r>
      <w:r w:rsidRPr="00494BA4">
        <w:rPr>
          <w:i/>
          <w:iCs/>
        </w:rPr>
        <w:t>Betula</w:t>
      </w:r>
      <w:r w:rsidRPr="00494BA4">
        <w:t xml:space="preserve"> spp.) </w:t>
      </w:r>
      <w:r>
        <w:t>were</w:t>
      </w:r>
      <w:r w:rsidRPr="00494BA4">
        <w:t xml:space="preserve"> the most abundant tree </w:t>
      </w:r>
      <w:r w:rsidRPr="00837691">
        <w:t>species (78</w:t>
      </w:r>
      <w:r w:rsidRPr="00494BA4">
        <w:t xml:space="preserve"> % of </w:t>
      </w:r>
      <w:r>
        <w:t>all</w:t>
      </w:r>
      <w:r w:rsidRPr="00494BA4">
        <w:t xml:space="preserve"> stems), with Scots pine (</w:t>
      </w:r>
      <w:r w:rsidRPr="00494BA4">
        <w:rPr>
          <w:i/>
          <w:iCs/>
        </w:rPr>
        <w:t>Pinus sylvestris</w:t>
      </w:r>
      <w:r w:rsidRPr="00494BA4">
        <w:t xml:space="preserve">) being recorded at all 27 sites. </w:t>
      </w:r>
      <w:commentRangeStart w:id="13"/>
      <w:r w:rsidRPr="00494BA4">
        <w:t xml:space="preserve">The greatest positive changes in </w:t>
      </w:r>
      <w:r>
        <w:t xml:space="preserve">mean </w:t>
      </w:r>
      <w:r w:rsidRPr="00494BA4">
        <w:t>stem number are associated with birch</w:t>
      </w:r>
      <w:r>
        <w:t xml:space="preserve"> </w:t>
      </w:r>
      <w:r w:rsidRPr="00494BA4">
        <w:t>(</w:t>
      </w:r>
      <w:r w:rsidRPr="00494BA4">
        <w:rPr>
          <w:i/>
          <w:iCs/>
        </w:rPr>
        <w:t>Betula</w:t>
      </w:r>
      <w:r w:rsidRPr="00494BA4">
        <w:t xml:space="preserve"> spp.) </w:t>
      </w:r>
      <w:r>
        <w:t>(18.4 stems per site)</w:t>
      </w:r>
      <w:r w:rsidRPr="00494BA4">
        <w:t xml:space="preserve"> and Scots pine</w:t>
      </w:r>
      <w:r>
        <w:t xml:space="preserve"> </w:t>
      </w:r>
      <w:r w:rsidRPr="00494BA4">
        <w:t>(</w:t>
      </w:r>
      <w:r w:rsidRPr="00494BA4">
        <w:rPr>
          <w:i/>
          <w:iCs/>
        </w:rPr>
        <w:t>Pinus sylvestris</w:t>
      </w:r>
      <w:r w:rsidRPr="00494BA4">
        <w:t>) (</w:t>
      </w:r>
      <w:r w:rsidRPr="00837691">
        <w:t>11.4</w:t>
      </w:r>
      <w:r w:rsidRPr="00494BA4">
        <w:t xml:space="preserve"> stems per site).</w:t>
      </w:r>
      <w:r>
        <w:t xml:space="preserve"> </w:t>
      </w:r>
      <w:commentRangeEnd w:id="13"/>
      <w:r w:rsidR="001B27B1">
        <w:rPr>
          <w:rStyle w:val="CommentReference"/>
        </w:rPr>
        <w:commentReference w:id="13"/>
      </w:r>
      <w:r>
        <w:t>Fig. 2 illustrates an example of young Scots pine growth at the Glen Tanar site.</w:t>
      </w:r>
      <w:r w:rsidRPr="00494BA4">
        <w:t xml:space="preserve"> Among the remaining native species,</w:t>
      </w:r>
      <w:r>
        <w:t xml:space="preserve"> w</w:t>
      </w:r>
      <w:r w:rsidRPr="00494BA4">
        <w:t>illows (</w:t>
      </w:r>
      <w:r w:rsidRPr="00494BA4">
        <w:rPr>
          <w:i/>
          <w:iCs/>
        </w:rPr>
        <w:t>Salix spp.)</w:t>
      </w:r>
      <w:r>
        <w:rPr>
          <w:i/>
          <w:iCs/>
        </w:rPr>
        <w:t xml:space="preserve"> </w:t>
      </w:r>
      <w:r>
        <w:t>and r</w:t>
      </w:r>
      <w:r w:rsidRPr="00494BA4">
        <w:t>owan (</w:t>
      </w:r>
      <w:r w:rsidRPr="00494BA4">
        <w:rPr>
          <w:i/>
          <w:iCs/>
        </w:rPr>
        <w:t>Sorbus aucuparia</w:t>
      </w:r>
      <w:r w:rsidRPr="00494BA4">
        <w:t>)</w:t>
      </w:r>
      <w:r>
        <w:t xml:space="preserve"> </w:t>
      </w:r>
      <w:r w:rsidRPr="00494BA4">
        <w:t>have declined markedly across all sites</w:t>
      </w:r>
      <w:r>
        <w:t>, willows by a mean of 6 stems and rowan by a mean of 14 stems.</w:t>
      </w:r>
      <w:r w:rsidRPr="00494BA4">
        <w:t xml:space="preserve"> </w:t>
      </w:r>
      <w:r>
        <w:t>Juniper (</w:t>
      </w:r>
      <w:r w:rsidRPr="00494BA4">
        <w:rPr>
          <w:i/>
          <w:iCs/>
        </w:rPr>
        <w:t>Juniperus</w:t>
      </w:r>
      <w:r>
        <w:t xml:space="preserve"> </w:t>
      </w:r>
      <w:r w:rsidRPr="00122E71">
        <w:rPr>
          <w:i/>
          <w:iCs/>
        </w:rPr>
        <w:t>communis</w:t>
      </w:r>
      <w:r>
        <w:t xml:space="preserve">) has also declined. </w:t>
      </w:r>
      <w:r w:rsidRPr="00494BA4">
        <w:t xml:space="preserve">The major </w:t>
      </w:r>
      <w:r w:rsidRPr="00494BA4">
        <w:lastRenderedPageBreak/>
        <w:t xml:space="preserve">changes are shown in </w:t>
      </w:r>
      <w:r>
        <w:t>Fig.</w:t>
      </w:r>
      <w:r w:rsidRPr="00494BA4">
        <w:t xml:space="preserve"> </w:t>
      </w:r>
      <w:r>
        <w:t>3</w:t>
      </w:r>
      <w:r w:rsidRPr="00494BA4">
        <w:t xml:space="preserve">, and a summary table of </w:t>
      </w:r>
      <w:bookmarkStart w:id="14" w:name="_Toc147949576"/>
      <w:bookmarkStart w:id="15" w:name="_Hlk201590506"/>
      <w:bookmarkStart w:id="16" w:name="_Hlk193962675"/>
      <w:r w:rsidRPr="00494BA4">
        <w:t>the c</w:t>
      </w:r>
      <w:r w:rsidRPr="00494BA4">
        <w:rPr>
          <w:szCs w:val="20"/>
        </w:rPr>
        <w:t xml:space="preserve">hange in average stem count number between 1971 and </w:t>
      </w:r>
      <w:r>
        <w:rPr>
          <w:szCs w:val="20"/>
        </w:rPr>
        <w:t>2018-2022</w:t>
      </w:r>
      <w:r w:rsidRPr="00494BA4">
        <w:rPr>
          <w:szCs w:val="20"/>
        </w:rPr>
        <w:t xml:space="preserve"> by species for each pinewood site </w:t>
      </w:r>
      <w:bookmarkEnd w:id="14"/>
      <w:bookmarkEnd w:id="15"/>
      <w:r w:rsidRPr="00494BA4">
        <w:rPr>
          <w:szCs w:val="20"/>
        </w:rPr>
        <w:t>may be found in the Supplementary Material</w:t>
      </w:r>
      <w:r>
        <w:rPr>
          <w:szCs w:val="20"/>
        </w:rPr>
        <w:t xml:space="preserve"> (</w:t>
      </w:r>
      <w:r w:rsidR="00520BA1">
        <w:rPr>
          <w:szCs w:val="20"/>
        </w:rPr>
        <w:t xml:space="preserve">Table </w:t>
      </w:r>
      <w:r>
        <w:rPr>
          <w:szCs w:val="20"/>
        </w:rPr>
        <w:t>S1)</w:t>
      </w:r>
      <w:r w:rsidRPr="00494BA4">
        <w:rPr>
          <w:szCs w:val="20"/>
        </w:rPr>
        <w:t>.</w:t>
      </w:r>
    </w:p>
    <w:p w14:paraId="4AE17B0B" w14:textId="77777777" w:rsidR="00F72067" w:rsidRDefault="00F72067" w:rsidP="00C077C0"/>
    <w:p w14:paraId="473A3188" w14:textId="77777777" w:rsidR="00F72067" w:rsidRPr="005A59F8" w:rsidRDefault="00F72067" w:rsidP="00C077C0">
      <w:pPr>
        <w:jc w:val="center"/>
        <w:rPr>
          <w:b/>
          <w:bCs/>
          <w:szCs w:val="20"/>
        </w:rPr>
      </w:pPr>
      <w:r>
        <w:rPr>
          <w:noProof/>
        </w:rPr>
        <w:drawing>
          <wp:inline distT="0" distB="0" distL="0" distR="0" wp14:anchorId="03AE88C8" wp14:editId="59C218ED">
            <wp:extent cx="2653967" cy="1991792"/>
            <wp:effectExtent l="7303" t="0" r="1587" b="1588"/>
            <wp:docPr id="19" name="Picture 19" descr="A yellow pole in a for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yellow pole in a forest&#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665398" cy="2000371"/>
                    </a:xfrm>
                    <a:prstGeom prst="rect">
                      <a:avLst/>
                    </a:prstGeom>
                    <a:noFill/>
                    <a:ln>
                      <a:noFill/>
                    </a:ln>
                  </pic:spPr>
                </pic:pic>
              </a:graphicData>
            </a:graphic>
          </wp:inline>
        </w:drawing>
      </w:r>
    </w:p>
    <w:p w14:paraId="1E8B14C3" w14:textId="77777777" w:rsidR="00F72067" w:rsidRPr="005A59F8" w:rsidRDefault="00F72067" w:rsidP="00C077C0">
      <w:pPr>
        <w:jc w:val="center"/>
        <w:rPr>
          <w:b/>
          <w:bCs/>
          <w:szCs w:val="20"/>
        </w:rPr>
      </w:pPr>
      <w:bookmarkStart w:id="17" w:name="_Hlk193962732"/>
      <w:r w:rsidRPr="005A59F8">
        <w:rPr>
          <w:b/>
          <w:bCs/>
          <w:szCs w:val="20"/>
        </w:rPr>
        <w:t xml:space="preserve">Figure </w:t>
      </w:r>
      <w:r>
        <w:rPr>
          <w:b/>
          <w:bCs/>
          <w:szCs w:val="20"/>
        </w:rPr>
        <w:t>2</w:t>
      </w:r>
      <w:r w:rsidRPr="005A59F8">
        <w:rPr>
          <w:b/>
          <w:bCs/>
          <w:szCs w:val="20"/>
        </w:rPr>
        <w:t xml:space="preserve">. Young Scots </w:t>
      </w:r>
      <w:r>
        <w:rPr>
          <w:b/>
          <w:bCs/>
          <w:szCs w:val="20"/>
        </w:rPr>
        <w:t>p</w:t>
      </w:r>
      <w:r w:rsidRPr="005A59F8">
        <w:rPr>
          <w:b/>
          <w:bCs/>
          <w:szCs w:val="20"/>
        </w:rPr>
        <w:t>ines at Glen Tanar</w:t>
      </w:r>
    </w:p>
    <w:bookmarkEnd w:id="17"/>
    <w:p w14:paraId="58A834F6" w14:textId="77777777" w:rsidR="00F72067" w:rsidRDefault="00F72067" w:rsidP="00C077C0"/>
    <w:p w14:paraId="48049D14" w14:textId="77777777" w:rsidR="00F72067" w:rsidRPr="00FE6B8F" w:rsidRDefault="00F72067" w:rsidP="00C077C0">
      <w:pPr>
        <w:jc w:val="center"/>
      </w:pPr>
      <w:r>
        <w:rPr>
          <w:noProof/>
        </w:rPr>
        <w:drawing>
          <wp:inline distT="0" distB="0" distL="0" distR="0" wp14:anchorId="064325C0" wp14:editId="5AA39F9E">
            <wp:extent cx="4373218" cy="4651513"/>
            <wp:effectExtent l="0" t="0" r="8890" b="15875"/>
            <wp:docPr id="2024406881" name="Chart 1">
              <a:extLst xmlns:a="http://schemas.openxmlformats.org/drawingml/2006/main">
                <a:ext uri="{FF2B5EF4-FFF2-40B4-BE49-F238E27FC236}">
                  <a16:creationId xmlns:a16="http://schemas.microsoft.com/office/drawing/2014/main" id="{21211F27-26AA-0367-3B07-83ABDED593D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40AEEB1" w14:textId="77777777" w:rsidR="00F72067" w:rsidRDefault="00F72067" w:rsidP="00C077C0">
      <w:pPr>
        <w:jc w:val="center"/>
        <w:rPr>
          <w:b/>
          <w:bCs/>
          <w:szCs w:val="20"/>
        </w:rPr>
      </w:pPr>
      <w:bookmarkStart w:id="18" w:name="_Hlk193962707"/>
      <w:bookmarkEnd w:id="16"/>
      <w:r w:rsidRPr="005A59F8">
        <w:rPr>
          <w:b/>
          <w:bCs/>
          <w:szCs w:val="20"/>
        </w:rPr>
        <w:t xml:space="preserve">Figure </w:t>
      </w:r>
      <w:r>
        <w:rPr>
          <w:b/>
          <w:bCs/>
          <w:szCs w:val="20"/>
        </w:rPr>
        <w:t>3</w:t>
      </w:r>
      <w:r w:rsidRPr="005A59F8">
        <w:rPr>
          <w:b/>
          <w:bCs/>
          <w:szCs w:val="20"/>
        </w:rPr>
        <w:t>. Change in native tree species recorded</w:t>
      </w:r>
    </w:p>
    <w:p w14:paraId="6273E1C0" w14:textId="77777777" w:rsidR="00F72067" w:rsidRDefault="00F72067" w:rsidP="00C077C0">
      <w:pPr>
        <w:jc w:val="left"/>
        <w:rPr>
          <w:b/>
          <w:bCs/>
          <w:szCs w:val="20"/>
        </w:rPr>
      </w:pPr>
    </w:p>
    <w:bookmarkEnd w:id="18"/>
    <w:p w14:paraId="12A880DB" w14:textId="77777777" w:rsidR="00F72067" w:rsidRDefault="00F72067" w:rsidP="00C077C0"/>
    <w:p w14:paraId="65641FEE" w14:textId="3646341D" w:rsidR="00F72067" w:rsidRDefault="00F72067" w:rsidP="00C077C0">
      <w:r>
        <w:t xml:space="preserve">Non-native trees were present in 41% of the 27 pinewoods, a figure that overall hasn’t changed markedly since 1971 (a slight decrease from 44%). However, the cover of those trees has declined (Fig. 4). </w:t>
      </w:r>
      <w:r w:rsidRPr="00BF5FE2">
        <w:t xml:space="preserve">Much of </w:t>
      </w:r>
      <w:r w:rsidRPr="00416C02">
        <w:t>the decline in canopy cover is attributable to felling of densely planted, non-native conifers, including Douglas fir (</w:t>
      </w:r>
      <w:r w:rsidRPr="00416C02">
        <w:rPr>
          <w:i/>
          <w:iCs/>
        </w:rPr>
        <w:t xml:space="preserve">Pseudotsuga </w:t>
      </w:r>
      <w:proofErr w:type="spellStart"/>
      <w:r w:rsidRPr="00416C02">
        <w:rPr>
          <w:i/>
          <w:iCs/>
        </w:rPr>
        <w:t>menziesii</w:t>
      </w:r>
      <w:proofErr w:type="spellEnd"/>
      <w:r w:rsidRPr="00416C02">
        <w:t>)</w:t>
      </w:r>
      <w:r w:rsidRPr="00BF5FE2">
        <w:t>, Japanese larch</w:t>
      </w:r>
      <w:r>
        <w:t xml:space="preserve"> (</w:t>
      </w:r>
      <w:r w:rsidRPr="00416C02">
        <w:rPr>
          <w:i/>
          <w:iCs/>
        </w:rPr>
        <w:t xml:space="preserve">Larix </w:t>
      </w:r>
      <w:proofErr w:type="spellStart"/>
      <w:r w:rsidRPr="00416C02">
        <w:rPr>
          <w:i/>
          <w:iCs/>
        </w:rPr>
        <w:t>kaempferi</w:t>
      </w:r>
      <w:proofErr w:type="spellEnd"/>
      <w:r>
        <w:t>)</w:t>
      </w:r>
      <w:r w:rsidRPr="00BF5FE2">
        <w:t>, lodgepole pine</w:t>
      </w:r>
      <w:r>
        <w:t xml:space="preserve"> (</w:t>
      </w:r>
      <w:r w:rsidRPr="00416C02">
        <w:rPr>
          <w:i/>
          <w:iCs/>
        </w:rPr>
        <w:t>Pinus contorta</w:t>
      </w:r>
      <w:r>
        <w:t>)</w:t>
      </w:r>
      <w:r w:rsidRPr="00BF5FE2">
        <w:t>, Norway spruce</w:t>
      </w:r>
      <w:r>
        <w:t xml:space="preserve"> (</w:t>
      </w:r>
      <w:r w:rsidRPr="00B66B32">
        <w:rPr>
          <w:i/>
          <w:iCs/>
        </w:rPr>
        <w:t>Picea abies</w:t>
      </w:r>
      <w:r>
        <w:t>)</w:t>
      </w:r>
      <w:r w:rsidRPr="00BF5FE2">
        <w:t xml:space="preserve"> </w:t>
      </w:r>
      <w:r>
        <w:t xml:space="preserve">and </w:t>
      </w:r>
      <w:r w:rsidRPr="00BF5FE2">
        <w:t>Sitka spruce</w:t>
      </w:r>
      <w:r>
        <w:t xml:space="preserve"> (</w:t>
      </w:r>
      <w:r w:rsidRPr="00B66B32">
        <w:rPr>
          <w:i/>
          <w:iCs/>
        </w:rPr>
        <w:t xml:space="preserve">Picea </w:t>
      </w:r>
      <w:proofErr w:type="spellStart"/>
      <w:r w:rsidRPr="00B66B32">
        <w:rPr>
          <w:i/>
          <w:iCs/>
        </w:rPr>
        <w:t>sitchensis</w:t>
      </w:r>
      <w:proofErr w:type="spellEnd"/>
      <w:r>
        <w:t>). A</w:t>
      </w:r>
      <w:r w:rsidRPr="00C57EBD">
        <w:t>n example of removal of non-native species at Glengarry is shown in Fig</w:t>
      </w:r>
      <w:r>
        <w:t>.</w:t>
      </w:r>
      <w:r w:rsidRPr="00C57EBD">
        <w:t xml:space="preserve"> 5</w:t>
      </w:r>
      <w:r>
        <w:t>, a site where this is particularly evident</w:t>
      </w:r>
      <w:r w:rsidRPr="00C57EBD">
        <w:t>.</w:t>
      </w:r>
      <w:r>
        <w:t xml:space="preserve"> While n</w:t>
      </w:r>
      <w:r w:rsidRPr="005B002C">
        <w:t>on-native conifers have</w:t>
      </w:r>
      <w:r>
        <w:t xml:space="preserve"> generally</w:t>
      </w:r>
      <w:r w:rsidRPr="005B002C">
        <w:t xml:space="preserve"> declined across the </w:t>
      </w:r>
      <w:r>
        <w:t xml:space="preserve">Bunce </w:t>
      </w:r>
      <w:r w:rsidRPr="005B002C">
        <w:t>sites</w:t>
      </w:r>
      <w:r>
        <w:t>, they</w:t>
      </w:r>
      <w:r w:rsidRPr="005B002C">
        <w:t xml:space="preserve"> have increased </w:t>
      </w:r>
      <w:r>
        <w:t>locally;</w:t>
      </w:r>
      <w:r w:rsidRPr="005B002C">
        <w:t xml:space="preserve"> </w:t>
      </w:r>
      <w:r>
        <w:t>larch (</w:t>
      </w:r>
      <w:r w:rsidRPr="005E02D5">
        <w:rPr>
          <w:i/>
          <w:iCs/>
        </w:rPr>
        <w:t>Larix spp</w:t>
      </w:r>
      <w:r>
        <w:t>.) at Abernethy, and Norway spruce (</w:t>
      </w:r>
      <w:r w:rsidRPr="00656A45">
        <w:rPr>
          <w:i/>
          <w:iCs/>
        </w:rPr>
        <w:t>Picea abies</w:t>
      </w:r>
      <w:r>
        <w:rPr>
          <w:i/>
          <w:iCs/>
        </w:rPr>
        <w:t>)</w:t>
      </w:r>
      <w:r>
        <w:t xml:space="preserve"> at </w:t>
      </w:r>
      <w:proofErr w:type="spellStart"/>
      <w:r>
        <w:t>Ballochbuie</w:t>
      </w:r>
      <w:proofErr w:type="spellEnd"/>
      <w:r>
        <w:t>, Ardgour and Glen Orchy in particular. A summary table showing the changes in counts of non-native tree species may be found in the Supplementary Material (</w:t>
      </w:r>
      <w:r w:rsidR="00520BA1">
        <w:t xml:space="preserve">Table </w:t>
      </w:r>
      <w:r>
        <w:t xml:space="preserve">S2) and a figure showing changes in these by ownership (Fig. S1). </w:t>
      </w:r>
    </w:p>
    <w:p w14:paraId="4D29ED83" w14:textId="77777777" w:rsidR="00F72067" w:rsidRDefault="00F72067" w:rsidP="00C077C0">
      <w:pPr>
        <w:jc w:val="left"/>
        <w:rPr>
          <w:b/>
          <w:bCs/>
          <w:szCs w:val="20"/>
        </w:rPr>
      </w:pPr>
      <w:bookmarkStart w:id="19" w:name="_Hlk193962939"/>
    </w:p>
    <w:p w14:paraId="5C89A4B0" w14:textId="77777777" w:rsidR="00F72067" w:rsidRDefault="00F72067" w:rsidP="00C077C0">
      <w:pPr>
        <w:jc w:val="center"/>
        <w:rPr>
          <w:b/>
          <w:bCs/>
          <w:szCs w:val="20"/>
        </w:rPr>
      </w:pPr>
      <w:r>
        <w:rPr>
          <w:noProof/>
        </w:rPr>
        <w:drawing>
          <wp:inline distT="0" distB="0" distL="0" distR="0" wp14:anchorId="39CC3D3E" wp14:editId="6B564412">
            <wp:extent cx="4285397" cy="2825750"/>
            <wp:effectExtent l="0" t="0" r="1270" b="12700"/>
            <wp:docPr id="10" name="Chart 10">
              <a:extLst xmlns:a="http://schemas.openxmlformats.org/drawingml/2006/main">
                <a:ext uri="{FF2B5EF4-FFF2-40B4-BE49-F238E27FC236}">
                  <a16:creationId xmlns:a16="http://schemas.microsoft.com/office/drawing/2014/main" id="{3EFF63E8-91E1-4086-E556-4E797F4F40D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77FD592" w14:textId="77777777" w:rsidR="00F72067" w:rsidRPr="005E02D5" w:rsidRDefault="00F72067" w:rsidP="00C077C0">
      <w:pPr>
        <w:jc w:val="center"/>
        <w:rPr>
          <w:b/>
          <w:bCs/>
          <w:szCs w:val="20"/>
        </w:rPr>
      </w:pPr>
      <w:r w:rsidRPr="005E02D5">
        <w:rPr>
          <w:b/>
          <w:bCs/>
          <w:szCs w:val="20"/>
        </w:rPr>
        <w:t xml:space="preserve">Figure </w:t>
      </w:r>
      <w:r>
        <w:rPr>
          <w:b/>
          <w:bCs/>
          <w:szCs w:val="20"/>
        </w:rPr>
        <w:t>4</w:t>
      </w:r>
      <w:r w:rsidRPr="005E02D5">
        <w:rPr>
          <w:b/>
          <w:bCs/>
          <w:szCs w:val="20"/>
        </w:rPr>
        <w:t xml:space="preserve">.  Change in non-native </w:t>
      </w:r>
      <w:r>
        <w:rPr>
          <w:b/>
          <w:bCs/>
          <w:szCs w:val="20"/>
        </w:rPr>
        <w:t xml:space="preserve">tree </w:t>
      </w:r>
      <w:r w:rsidRPr="005E02D5">
        <w:rPr>
          <w:b/>
          <w:bCs/>
          <w:szCs w:val="20"/>
        </w:rPr>
        <w:t>species</w:t>
      </w:r>
      <w:r>
        <w:rPr>
          <w:b/>
          <w:bCs/>
          <w:szCs w:val="20"/>
        </w:rPr>
        <w:t xml:space="preserve"> (stem counts)</w:t>
      </w:r>
    </w:p>
    <w:bookmarkEnd w:id="19"/>
    <w:p w14:paraId="6E310F83" w14:textId="77777777" w:rsidR="00F72067" w:rsidRPr="005E02D5" w:rsidRDefault="00F72067" w:rsidP="00C077C0">
      <w:pPr>
        <w:rPr>
          <w:b/>
          <w:bCs/>
          <w:szCs w:val="20"/>
        </w:rPr>
      </w:pPr>
    </w:p>
    <w:p w14:paraId="6B2D0DBF" w14:textId="77777777" w:rsidR="00F72067" w:rsidRDefault="00F72067" w:rsidP="00C077C0">
      <w:pPr>
        <w:jc w:val="center"/>
        <w:rPr>
          <w:b/>
          <w:bCs/>
          <w:szCs w:val="20"/>
        </w:rPr>
      </w:pPr>
      <w:bookmarkStart w:id="20" w:name="_Hlk193962951"/>
      <w:r>
        <w:rPr>
          <w:noProof/>
        </w:rPr>
        <w:lastRenderedPageBreak/>
        <w:drawing>
          <wp:inline distT="0" distB="0" distL="0" distR="0" wp14:anchorId="677E4A7E" wp14:editId="72FCA999">
            <wp:extent cx="2057342" cy="274320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57342" cy="2743200"/>
                    </a:xfrm>
                    <a:prstGeom prst="rect">
                      <a:avLst/>
                    </a:prstGeom>
                    <a:noFill/>
                    <a:ln>
                      <a:noFill/>
                    </a:ln>
                  </pic:spPr>
                </pic:pic>
              </a:graphicData>
            </a:graphic>
          </wp:inline>
        </w:drawing>
      </w:r>
    </w:p>
    <w:p w14:paraId="3A754DA6" w14:textId="77777777" w:rsidR="00F72067" w:rsidRPr="005E02D5" w:rsidRDefault="00F72067" w:rsidP="00C077C0">
      <w:pPr>
        <w:jc w:val="center"/>
        <w:rPr>
          <w:b/>
          <w:bCs/>
          <w:szCs w:val="20"/>
        </w:rPr>
      </w:pPr>
      <w:r w:rsidRPr="005E02D5">
        <w:rPr>
          <w:b/>
          <w:bCs/>
          <w:szCs w:val="20"/>
        </w:rPr>
        <w:t xml:space="preserve">Figure </w:t>
      </w:r>
      <w:r>
        <w:rPr>
          <w:b/>
          <w:bCs/>
          <w:szCs w:val="20"/>
        </w:rPr>
        <w:t>5</w:t>
      </w:r>
      <w:r w:rsidRPr="005E02D5">
        <w:rPr>
          <w:b/>
          <w:bCs/>
          <w:szCs w:val="20"/>
        </w:rPr>
        <w:t>. Felling at Glen Garry</w:t>
      </w:r>
    </w:p>
    <w:bookmarkEnd w:id="20"/>
    <w:p w14:paraId="4130BD7C" w14:textId="77777777" w:rsidR="00F72067" w:rsidRDefault="00F72067" w:rsidP="00C077C0">
      <w:pPr>
        <w:rPr>
          <w:b/>
          <w:bCs/>
        </w:rPr>
      </w:pPr>
    </w:p>
    <w:p w14:paraId="05E21245" w14:textId="77777777" w:rsidR="00F72067" w:rsidRDefault="00F72067" w:rsidP="00C077C0">
      <w:pPr>
        <w:rPr>
          <w:i/>
          <w:iCs/>
        </w:rPr>
      </w:pPr>
      <w:r w:rsidRPr="005B002C">
        <w:t xml:space="preserve">The </w:t>
      </w:r>
      <w:r>
        <w:t>mean</w:t>
      </w:r>
      <w:r w:rsidRPr="005B002C">
        <w:t xml:space="preserve"> change in stem diameter</w:t>
      </w:r>
      <w:r>
        <w:t xml:space="preserve"> per site</w:t>
      </w:r>
      <w:r w:rsidRPr="005B002C">
        <w:t xml:space="preserve"> </w:t>
      </w:r>
      <w:r>
        <w:t xml:space="preserve">ranges </w:t>
      </w:r>
      <w:r w:rsidRPr="005B002C">
        <w:t xml:space="preserve">between -0.55 </w:t>
      </w:r>
      <w:r>
        <w:t>-</w:t>
      </w:r>
      <w:r w:rsidRPr="005B002C">
        <w:t xml:space="preserve"> 0.69 cm.  Change </w:t>
      </w:r>
      <w:r>
        <w:t>wa</w:t>
      </w:r>
      <w:r w:rsidRPr="005B002C">
        <w:t>s greatest for Scots pine</w:t>
      </w:r>
      <w:r>
        <w:t xml:space="preserve"> </w:t>
      </w:r>
      <w:r w:rsidRPr="00494BA4">
        <w:t>(</w:t>
      </w:r>
      <w:r w:rsidRPr="00494BA4">
        <w:rPr>
          <w:i/>
          <w:iCs/>
        </w:rPr>
        <w:t>Pinus sylvestris</w:t>
      </w:r>
      <w:r w:rsidRPr="00494BA4">
        <w:t>)</w:t>
      </w:r>
      <w:r w:rsidRPr="005B002C">
        <w:t xml:space="preserve">, with a </w:t>
      </w:r>
      <w:r>
        <w:t>mean</w:t>
      </w:r>
      <w:r w:rsidRPr="005B002C">
        <w:t xml:space="preserve"> increase of 2.4 cm</w:t>
      </w:r>
      <w:r>
        <w:t>, whilst birch (</w:t>
      </w:r>
      <w:r w:rsidRPr="00DB218F">
        <w:rPr>
          <w:i/>
          <w:iCs/>
        </w:rPr>
        <w:t>Betula</w:t>
      </w:r>
      <w:r>
        <w:t xml:space="preserve"> spp.) showed a</w:t>
      </w:r>
      <w:r w:rsidRPr="005B002C">
        <w:t xml:space="preserve"> minor increase of 0.5 cm. Very limited change in the diameter of the other broadleaved </w:t>
      </w:r>
      <w:r>
        <w:t>and</w:t>
      </w:r>
      <w:r w:rsidRPr="005B002C">
        <w:t xml:space="preserve"> native species </w:t>
      </w:r>
      <w:r>
        <w:t>wa</w:t>
      </w:r>
      <w:r w:rsidRPr="005B002C">
        <w:t xml:space="preserve">s observed (&lt;0.3 cm). Among the non-native conifers, only Douglas fir </w:t>
      </w:r>
      <w:r w:rsidRPr="00416C02">
        <w:t>(</w:t>
      </w:r>
      <w:r w:rsidRPr="00416C02">
        <w:rPr>
          <w:i/>
          <w:iCs/>
        </w:rPr>
        <w:t xml:space="preserve">Pseudotsuga </w:t>
      </w:r>
      <w:proofErr w:type="spellStart"/>
      <w:r w:rsidRPr="00416C02">
        <w:rPr>
          <w:i/>
          <w:iCs/>
        </w:rPr>
        <w:t>menziesii</w:t>
      </w:r>
      <w:proofErr w:type="spellEnd"/>
      <w:r w:rsidRPr="00416C02">
        <w:t>)</w:t>
      </w:r>
      <w:r w:rsidRPr="00BF5FE2">
        <w:t xml:space="preserve">, </w:t>
      </w:r>
      <w:r>
        <w:t>and</w:t>
      </w:r>
      <w:r w:rsidRPr="005B002C">
        <w:t xml:space="preserve"> Norway spruce</w:t>
      </w:r>
      <w:r>
        <w:t xml:space="preserve"> (</w:t>
      </w:r>
      <w:r w:rsidRPr="00B66B32">
        <w:rPr>
          <w:i/>
          <w:iCs/>
        </w:rPr>
        <w:t>Picea abies</w:t>
      </w:r>
      <w:r>
        <w:t>)</w:t>
      </w:r>
      <w:r w:rsidRPr="00BF5FE2">
        <w:t xml:space="preserve"> </w:t>
      </w:r>
      <w:r w:rsidRPr="005B002C">
        <w:t xml:space="preserve">demonstrate a change in average stem diameter of greater than ±0.1 cm.  </w:t>
      </w:r>
    </w:p>
    <w:p w14:paraId="4CE39AD6" w14:textId="77777777" w:rsidR="00F72067" w:rsidRDefault="00F72067" w:rsidP="00C077C0">
      <w:pPr>
        <w:jc w:val="left"/>
      </w:pPr>
    </w:p>
    <w:p w14:paraId="52B7DF4E" w14:textId="77777777" w:rsidR="00F72067" w:rsidRDefault="00F72067" w:rsidP="00C077C0">
      <w:pPr>
        <w:rPr>
          <w:b/>
          <w:bCs/>
        </w:rPr>
      </w:pPr>
      <w:r>
        <w:rPr>
          <w:b/>
          <w:bCs/>
        </w:rPr>
        <w:t xml:space="preserve">3.2 </w:t>
      </w:r>
      <w:bookmarkStart w:id="21" w:name="_Hlk209601755"/>
      <w:r>
        <w:rPr>
          <w:b/>
          <w:bCs/>
        </w:rPr>
        <w:t>R</w:t>
      </w:r>
      <w:r w:rsidRPr="00BE70FF">
        <w:rPr>
          <w:b/>
          <w:bCs/>
        </w:rPr>
        <w:t>egeneration</w:t>
      </w:r>
      <w:bookmarkEnd w:id="21"/>
      <w:r>
        <w:rPr>
          <w:b/>
          <w:bCs/>
        </w:rPr>
        <w:t xml:space="preserve"> of native species</w:t>
      </w:r>
    </w:p>
    <w:p w14:paraId="72FE8BD3" w14:textId="7BEC5012" w:rsidR="00F72067" w:rsidRPr="006A1D99" w:rsidRDefault="00F72067" w:rsidP="00C077C0">
      <w:r w:rsidRPr="003413DF">
        <w:t>Signs of regeneration may be investigated in the data by looking at the records of recent regeneration recorded in the plot descriptions, and also by looking at counts</w:t>
      </w:r>
      <w:r>
        <w:t xml:space="preserve"> of seedlings and smaller stemmed trees and saplings. Over the longer-term, counts of stems likely to have appeared since 1971 give a picture of growth (including stem increase of established trees and regeneration of new, smaller trees) since that date. </w:t>
      </w:r>
      <w:commentRangeStart w:id="22"/>
      <w:r>
        <w:t xml:space="preserve">Scots pine </w:t>
      </w:r>
      <w:r w:rsidRPr="00494BA4">
        <w:t>(</w:t>
      </w:r>
      <w:r w:rsidRPr="00494BA4">
        <w:rPr>
          <w:i/>
          <w:iCs/>
        </w:rPr>
        <w:t>Pinus sylvestris</w:t>
      </w:r>
      <w:r w:rsidRPr="00494BA4">
        <w:t>)</w:t>
      </w:r>
      <w:r>
        <w:t xml:space="preserve"> s</w:t>
      </w:r>
      <w:r w:rsidRPr="003413DF">
        <w:t xml:space="preserve">tems with a diameter at breast  height less than or equal to 20cm equate to </w:t>
      </w:r>
      <w:r>
        <w:t xml:space="preserve">individuals </w:t>
      </w:r>
      <w:r w:rsidRPr="003413DF">
        <w:t>approximately 50 years old</w:t>
      </w:r>
      <w:r>
        <w:t xml:space="preserve"> </w:t>
      </w:r>
      <w:r w:rsidRPr="003413DF">
        <w:t xml:space="preserve">according to </w:t>
      </w:r>
      <w:r>
        <w:t>the</w:t>
      </w:r>
      <w:r w:rsidRPr="003413DF">
        <w:t xml:space="preserve"> </w:t>
      </w:r>
      <w:r>
        <w:t xml:space="preserve">UK </w:t>
      </w:r>
      <w:r w:rsidRPr="003413DF">
        <w:t>tree age calculator</w:t>
      </w:r>
      <w:r>
        <w:t xml:space="preserve"> </w:t>
      </w:r>
      <w:r>
        <w:rPr>
          <w:noProof/>
        </w:rPr>
        <w:t>(Felling U</w:t>
      </w:r>
      <w:r w:rsidR="00386E73">
        <w:rPr>
          <w:noProof/>
        </w:rPr>
        <w:t>K</w:t>
      </w:r>
      <w:r>
        <w:rPr>
          <w:noProof/>
        </w:rPr>
        <w:t>, 2025)</w:t>
      </w:r>
      <w:r w:rsidRPr="003413DF">
        <w:t xml:space="preserve">, </w:t>
      </w:r>
      <w:commentRangeEnd w:id="22"/>
      <w:r w:rsidR="00FB223E">
        <w:rPr>
          <w:rStyle w:val="CommentReference"/>
        </w:rPr>
        <w:commentReference w:id="22"/>
      </w:r>
      <w:r>
        <w:t>Fig.</w:t>
      </w:r>
      <w:r w:rsidRPr="006A1D99">
        <w:t xml:space="preserve"> </w:t>
      </w:r>
      <w:r>
        <w:t>6</w:t>
      </w:r>
      <w:r w:rsidRPr="006A1D99">
        <w:t xml:space="preserve"> shows a site</w:t>
      </w:r>
      <w:r>
        <w:t xml:space="preserve"> example</w:t>
      </w:r>
      <w:r w:rsidRPr="006A1D99">
        <w:t xml:space="preserve"> (Glen Tanar) which shows an increase in </w:t>
      </w:r>
      <w:r>
        <w:t xml:space="preserve">Scots pine </w:t>
      </w:r>
      <w:r w:rsidRPr="00494BA4">
        <w:t>(</w:t>
      </w:r>
      <w:r w:rsidRPr="00494BA4">
        <w:rPr>
          <w:i/>
          <w:iCs/>
        </w:rPr>
        <w:t>Pinus sylvestris</w:t>
      </w:r>
      <w:r w:rsidRPr="00494BA4">
        <w:t>)</w:t>
      </w:r>
      <w:r>
        <w:t xml:space="preserve"> stems in </w:t>
      </w:r>
      <w:r w:rsidRPr="006A1D99">
        <w:t xml:space="preserve">the smaller </w:t>
      </w:r>
      <w:proofErr w:type="spellStart"/>
      <w:r w:rsidRPr="006A1D99">
        <w:t>dbh</w:t>
      </w:r>
      <w:proofErr w:type="spellEnd"/>
      <w:r w:rsidRPr="006A1D99">
        <w:t xml:space="preserve"> </w:t>
      </w:r>
      <w:r>
        <w:t>size classes</w:t>
      </w:r>
      <w:r w:rsidRPr="006A1D99">
        <w:t xml:space="preserve">, which </w:t>
      </w:r>
      <w:r>
        <w:t>indicates</w:t>
      </w:r>
      <w:r w:rsidRPr="006A1D99">
        <w:t xml:space="preserve"> </w:t>
      </w:r>
      <w:r>
        <w:t xml:space="preserve">ongoing </w:t>
      </w:r>
      <w:r w:rsidRPr="006A1D99">
        <w:t xml:space="preserve">regeneration at that site.  </w:t>
      </w:r>
    </w:p>
    <w:p w14:paraId="2A470B59" w14:textId="77777777" w:rsidR="00F72067" w:rsidRDefault="00F72067" w:rsidP="00C077C0">
      <w:pPr>
        <w:rPr>
          <w:b/>
          <w:bCs/>
          <w:color w:val="FF0000"/>
        </w:rPr>
      </w:pPr>
    </w:p>
    <w:p w14:paraId="028B2C2E" w14:textId="77777777" w:rsidR="00F72067" w:rsidRDefault="00F72067" w:rsidP="00C077C0">
      <w:pPr>
        <w:jc w:val="center"/>
        <w:rPr>
          <w:b/>
          <w:bCs/>
          <w:color w:val="FF0000"/>
        </w:rPr>
      </w:pPr>
      <w:r w:rsidRPr="00605D58">
        <w:rPr>
          <w:noProof/>
        </w:rPr>
        <w:lastRenderedPageBreak/>
        <w:t xml:space="preserve"> </w:t>
      </w:r>
      <w:r>
        <w:rPr>
          <w:noProof/>
        </w:rPr>
        <w:drawing>
          <wp:inline distT="0" distB="0" distL="0" distR="0" wp14:anchorId="62034D03" wp14:editId="33AE64CD">
            <wp:extent cx="5347412" cy="3540557"/>
            <wp:effectExtent l="0" t="0" r="5715" b="3175"/>
            <wp:docPr id="1612798296" name="Chart 1">
              <a:extLst xmlns:a="http://schemas.openxmlformats.org/drawingml/2006/main">
                <a:ext uri="{FF2B5EF4-FFF2-40B4-BE49-F238E27FC236}">
                  <a16:creationId xmlns:a16="http://schemas.microsoft.com/office/drawing/2014/main" id="{AF6075C3-10C3-4C65-BEDA-A0ACC5960C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02A81D5" w14:textId="77777777" w:rsidR="00F72067" w:rsidRPr="006A1D99" w:rsidRDefault="00F72067" w:rsidP="00C077C0">
      <w:pPr>
        <w:jc w:val="center"/>
        <w:rPr>
          <w:b/>
          <w:bCs/>
        </w:rPr>
      </w:pPr>
      <w:r w:rsidRPr="006A1D99">
        <w:rPr>
          <w:b/>
          <w:bCs/>
        </w:rPr>
        <w:t xml:space="preserve">Figure </w:t>
      </w:r>
      <w:r>
        <w:rPr>
          <w:b/>
          <w:bCs/>
        </w:rPr>
        <w:t>6</w:t>
      </w:r>
      <w:r w:rsidRPr="006A1D99">
        <w:rPr>
          <w:b/>
          <w:bCs/>
        </w:rPr>
        <w:t xml:space="preserve">. Counts of Scots pine stems at Glen Tanar, grouped in </w:t>
      </w:r>
      <w:proofErr w:type="spellStart"/>
      <w:r w:rsidRPr="006A1D99">
        <w:rPr>
          <w:b/>
          <w:bCs/>
        </w:rPr>
        <w:t>5cm</w:t>
      </w:r>
      <w:proofErr w:type="spellEnd"/>
      <w:r w:rsidRPr="006A1D99">
        <w:rPr>
          <w:b/>
          <w:bCs/>
        </w:rPr>
        <w:t xml:space="preserve"> </w:t>
      </w:r>
      <w:proofErr w:type="spellStart"/>
      <w:r w:rsidRPr="006A1D99">
        <w:rPr>
          <w:b/>
          <w:bCs/>
        </w:rPr>
        <w:t>dbh</w:t>
      </w:r>
      <w:proofErr w:type="spellEnd"/>
      <w:r w:rsidRPr="006A1D99">
        <w:rPr>
          <w:b/>
          <w:bCs/>
        </w:rPr>
        <w:t xml:space="preserve"> classes</w:t>
      </w:r>
    </w:p>
    <w:p w14:paraId="69C386CB" w14:textId="77777777" w:rsidR="00F72067" w:rsidRPr="0061064C" w:rsidRDefault="00F72067" w:rsidP="00C077C0">
      <w:pPr>
        <w:rPr>
          <w:b/>
          <w:bCs/>
          <w:color w:val="FF0000"/>
        </w:rPr>
      </w:pPr>
    </w:p>
    <w:p w14:paraId="0D17165B" w14:textId="385AB8FA" w:rsidR="00F72067" w:rsidRDefault="00F72067" w:rsidP="00C077C0">
      <w:r>
        <w:t xml:space="preserve">Overall, recent tree regeneration signs </w:t>
      </w:r>
      <w:r w:rsidRPr="003413DF">
        <w:t>ha</w:t>
      </w:r>
      <w:r>
        <w:t>ve</w:t>
      </w:r>
      <w:r w:rsidRPr="003413DF">
        <w:t xml:space="preserve"> increased by 33%, </w:t>
      </w:r>
      <w:r>
        <w:t xml:space="preserve">with increases demonstrated </w:t>
      </w:r>
      <w:r w:rsidRPr="003413DF">
        <w:t>especially for</w:t>
      </w:r>
      <w:r>
        <w:t xml:space="preserve"> the native species of</w:t>
      </w:r>
      <w:r w:rsidRPr="003413DF">
        <w:t xml:space="preserve"> </w:t>
      </w:r>
      <w:r>
        <w:t xml:space="preserve">Scots pine </w:t>
      </w:r>
      <w:r w:rsidRPr="00EB45CA">
        <w:t>(</w:t>
      </w:r>
      <w:r w:rsidRPr="00EB45CA">
        <w:rPr>
          <w:i/>
          <w:iCs/>
        </w:rPr>
        <w:t>Pinus sylvestris</w:t>
      </w:r>
      <w:r w:rsidRPr="00EB45CA">
        <w:t>)</w:t>
      </w:r>
      <w:r>
        <w:t>, b</w:t>
      </w:r>
      <w:r w:rsidRPr="00EB45CA">
        <w:t>irch (</w:t>
      </w:r>
      <w:r w:rsidRPr="00EB45CA">
        <w:rPr>
          <w:i/>
          <w:iCs/>
        </w:rPr>
        <w:t>Betula</w:t>
      </w:r>
      <w:r w:rsidRPr="00EB45CA">
        <w:t xml:space="preserve"> spp.)</w:t>
      </w:r>
      <w:r>
        <w:t xml:space="preserve"> and rowan (</w:t>
      </w:r>
      <w:r w:rsidRPr="00605D58">
        <w:rPr>
          <w:i/>
          <w:iCs/>
        </w:rPr>
        <w:t>Sorbus aucuparia</w:t>
      </w:r>
      <w:r>
        <w:t>), and smaller increases in holly (</w:t>
      </w:r>
      <w:r w:rsidRPr="00CF1463">
        <w:rPr>
          <w:i/>
          <w:iCs/>
        </w:rPr>
        <w:t xml:space="preserve">Ilex </w:t>
      </w:r>
      <w:proofErr w:type="spellStart"/>
      <w:r w:rsidRPr="00CF1463">
        <w:rPr>
          <w:i/>
          <w:iCs/>
        </w:rPr>
        <w:t>aquifolium</w:t>
      </w:r>
      <w:proofErr w:type="spellEnd"/>
      <w:r>
        <w:t>), alder (</w:t>
      </w:r>
      <w:r w:rsidRPr="00CF1463">
        <w:rPr>
          <w:i/>
          <w:iCs/>
        </w:rPr>
        <w:t xml:space="preserve">Alnus </w:t>
      </w:r>
      <w:proofErr w:type="spellStart"/>
      <w:r w:rsidRPr="00CF1463">
        <w:rPr>
          <w:i/>
          <w:iCs/>
        </w:rPr>
        <w:t>glutinosa</w:t>
      </w:r>
      <w:proofErr w:type="spellEnd"/>
      <w:r>
        <w:t>), juniper (</w:t>
      </w:r>
      <w:r w:rsidRPr="00CF1463">
        <w:rPr>
          <w:i/>
          <w:iCs/>
        </w:rPr>
        <w:t>Juniperus</w:t>
      </w:r>
      <w:r>
        <w:t xml:space="preserve"> spp.) and willow (</w:t>
      </w:r>
      <w:r w:rsidRPr="00CF1463">
        <w:rPr>
          <w:i/>
          <w:iCs/>
        </w:rPr>
        <w:t>Salix</w:t>
      </w:r>
      <w:r>
        <w:t xml:space="preserve"> spp.). (Fig. 7), which matches the increase in the overall mean stem counts. Whilst the overall number remains very low, h</w:t>
      </w:r>
      <w:r w:rsidRPr="003413DF">
        <w:t>olly regeneration has increased by 400%.</w:t>
      </w:r>
      <w:r>
        <w:t xml:space="preserve"> </w:t>
      </w:r>
    </w:p>
    <w:p w14:paraId="49C15728" w14:textId="6BA3CF82" w:rsidR="00F72067" w:rsidRDefault="00F72067" w:rsidP="00C077C0">
      <w:pPr>
        <w:rPr>
          <w:b/>
          <w:bCs/>
        </w:rPr>
      </w:pPr>
      <w:r>
        <w:t xml:space="preserve">Mar </w:t>
      </w:r>
      <w:r w:rsidRPr="00117ADF">
        <w:t>Lodge (Fig. 8) is</w:t>
      </w:r>
      <w:r>
        <w:t xml:space="preserve"> one of the sites demonstrating regeneration of Scots pine </w:t>
      </w:r>
      <w:r w:rsidRPr="00EB45CA">
        <w:t>(</w:t>
      </w:r>
      <w:r w:rsidRPr="00EB45CA">
        <w:rPr>
          <w:i/>
          <w:iCs/>
        </w:rPr>
        <w:t>Pinus sylvestris</w:t>
      </w:r>
      <w:r w:rsidRPr="00EB45CA">
        <w:t xml:space="preserve">) and </w:t>
      </w:r>
      <w:r>
        <w:t>b</w:t>
      </w:r>
      <w:r w:rsidRPr="00EB45CA">
        <w:t>irch (</w:t>
      </w:r>
      <w:r w:rsidRPr="00EB45CA">
        <w:rPr>
          <w:i/>
          <w:iCs/>
        </w:rPr>
        <w:t>Betula</w:t>
      </w:r>
      <w:r w:rsidRPr="00EB45CA">
        <w:t xml:space="preserve"> spp.)</w:t>
      </w:r>
      <w:r>
        <w:t xml:space="preserve"> in the records of seedling frequency and regeneration. Recognised as an internationally important site, and having been acquired by the National Trust in 1995, the primary aim of the site is now focused on conservation. Large efforts have been made to control deer, which were previously hampering regeneration. In the Bunce data, signs of grazing animals confirms </w:t>
      </w:r>
      <w:commentRangeStart w:id="23"/>
      <w:r w:rsidR="00386E73">
        <w:t>a decrease</w:t>
      </w:r>
      <w:r>
        <w:t xml:space="preserve"> there since 1971</w:t>
      </w:r>
      <w:commentRangeEnd w:id="23"/>
      <w:r w:rsidR="00FB223E">
        <w:rPr>
          <w:rStyle w:val="CommentReference"/>
        </w:rPr>
        <w:commentReference w:id="23"/>
      </w:r>
      <w:r>
        <w:t xml:space="preserve">. </w:t>
      </w:r>
    </w:p>
    <w:p w14:paraId="193978EB" w14:textId="77777777" w:rsidR="00F72067" w:rsidRDefault="00F72067" w:rsidP="00C077C0">
      <w:pPr>
        <w:rPr>
          <w:b/>
          <w:bCs/>
        </w:rPr>
      </w:pPr>
    </w:p>
    <w:p w14:paraId="4CE08B9D" w14:textId="77777777" w:rsidR="00F72067" w:rsidRDefault="00F72067" w:rsidP="00C077C0">
      <w:pPr>
        <w:jc w:val="center"/>
        <w:rPr>
          <w:b/>
          <w:bCs/>
        </w:rPr>
      </w:pPr>
      <w:r>
        <w:rPr>
          <w:noProof/>
        </w:rPr>
        <w:lastRenderedPageBreak/>
        <w:drawing>
          <wp:inline distT="0" distB="0" distL="0" distR="0" wp14:anchorId="445DD7DA" wp14:editId="5F2E95B1">
            <wp:extent cx="4572000" cy="3228975"/>
            <wp:effectExtent l="0" t="0" r="0" b="9525"/>
            <wp:docPr id="1778701145" name="Chart 1">
              <a:extLst xmlns:a="http://schemas.openxmlformats.org/drawingml/2006/main">
                <a:ext uri="{FF2B5EF4-FFF2-40B4-BE49-F238E27FC236}">
                  <a16:creationId xmlns:a16="http://schemas.microsoft.com/office/drawing/2014/main" id="{CE7E5830-0633-7475-8BCD-BBE7AF4218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D58E15F" w14:textId="77777777" w:rsidR="00F72067" w:rsidRDefault="00F72067" w:rsidP="00C077C0">
      <w:pPr>
        <w:jc w:val="center"/>
        <w:rPr>
          <w:b/>
          <w:bCs/>
        </w:rPr>
      </w:pPr>
      <w:r>
        <w:rPr>
          <w:b/>
          <w:bCs/>
        </w:rPr>
        <w:t xml:space="preserve">Figure 7. Change in signs of recent regeneration, </w:t>
      </w:r>
      <w:commentRangeStart w:id="24"/>
      <w:r>
        <w:rPr>
          <w:b/>
          <w:bCs/>
        </w:rPr>
        <w:t>1971-2022</w:t>
      </w:r>
      <w:commentRangeEnd w:id="24"/>
      <w:r w:rsidR="00FB223E">
        <w:rPr>
          <w:rStyle w:val="CommentReference"/>
        </w:rPr>
        <w:commentReference w:id="24"/>
      </w:r>
    </w:p>
    <w:p w14:paraId="35CAE376" w14:textId="77777777" w:rsidR="00F72067" w:rsidRDefault="00F72067" w:rsidP="00C077C0">
      <w:pPr>
        <w:jc w:val="center"/>
        <w:rPr>
          <w:b/>
          <w:bCs/>
        </w:rPr>
      </w:pPr>
    </w:p>
    <w:p w14:paraId="4384F990" w14:textId="77777777" w:rsidR="00F72067" w:rsidRDefault="00F72067" w:rsidP="00C077C0">
      <w:pPr>
        <w:jc w:val="center"/>
      </w:pPr>
      <w:r>
        <w:rPr>
          <w:noProof/>
        </w:rPr>
        <w:drawing>
          <wp:inline distT="0" distB="0" distL="0" distR="0" wp14:anchorId="19319CCB" wp14:editId="1F58C408">
            <wp:extent cx="3613703" cy="2707574"/>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64944" cy="2745966"/>
                    </a:xfrm>
                    <a:prstGeom prst="rect">
                      <a:avLst/>
                    </a:prstGeom>
                    <a:noFill/>
                    <a:ln>
                      <a:noFill/>
                    </a:ln>
                  </pic:spPr>
                </pic:pic>
              </a:graphicData>
            </a:graphic>
          </wp:inline>
        </w:drawing>
      </w:r>
    </w:p>
    <w:p w14:paraId="5F66DF07" w14:textId="289D31C0" w:rsidR="00F72067" w:rsidRPr="00EA5053" w:rsidRDefault="00F72067" w:rsidP="00C077C0">
      <w:pPr>
        <w:jc w:val="center"/>
        <w:rPr>
          <w:b/>
          <w:bCs/>
        </w:rPr>
      </w:pPr>
      <w:bookmarkStart w:id="25" w:name="_Hlk193963035"/>
      <w:r w:rsidRPr="00EA5053">
        <w:rPr>
          <w:b/>
          <w:bCs/>
        </w:rPr>
        <w:t xml:space="preserve">Figure 8. Birch and Scots </w:t>
      </w:r>
      <w:r w:rsidR="00386E73">
        <w:rPr>
          <w:b/>
          <w:bCs/>
        </w:rPr>
        <w:t>p</w:t>
      </w:r>
      <w:r w:rsidRPr="00EA5053">
        <w:rPr>
          <w:b/>
          <w:bCs/>
        </w:rPr>
        <w:t xml:space="preserve">ine </w:t>
      </w:r>
      <w:r>
        <w:rPr>
          <w:b/>
          <w:bCs/>
        </w:rPr>
        <w:t>r</w:t>
      </w:r>
      <w:r w:rsidRPr="00EA5053">
        <w:rPr>
          <w:b/>
          <w:bCs/>
        </w:rPr>
        <w:t>egeneration at Mar Lodge</w:t>
      </w:r>
    </w:p>
    <w:bookmarkEnd w:id="25"/>
    <w:p w14:paraId="088707F5" w14:textId="77777777" w:rsidR="00F72067" w:rsidRDefault="00F72067" w:rsidP="00C077C0">
      <w:pPr>
        <w:jc w:val="center"/>
        <w:rPr>
          <w:b/>
          <w:bCs/>
        </w:rPr>
      </w:pPr>
    </w:p>
    <w:p w14:paraId="3F48F182" w14:textId="77777777" w:rsidR="00F72067" w:rsidRDefault="00F72067" w:rsidP="00C077C0">
      <w:pPr>
        <w:rPr>
          <w:b/>
          <w:bCs/>
          <w:highlight w:val="green"/>
        </w:rPr>
      </w:pPr>
    </w:p>
    <w:p w14:paraId="6C65E835" w14:textId="77777777" w:rsidR="00F72067" w:rsidRDefault="00F72067" w:rsidP="00C077C0">
      <w:pPr>
        <w:rPr>
          <w:b/>
          <w:bCs/>
        </w:rPr>
      </w:pPr>
      <w:bookmarkStart w:id="26" w:name="_Hlk209601763"/>
      <w:r>
        <w:rPr>
          <w:b/>
          <w:bCs/>
        </w:rPr>
        <w:t xml:space="preserve">3.3 Deer management </w:t>
      </w:r>
    </w:p>
    <w:bookmarkEnd w:id="26"/>
    <w:p w14:paraId="1C8A2D3F" w14:textId="77777777" w:rsidR="00F72067" w:rsidRPr="000B0E76" w:rsidRDefault="00F72067" w:rsidP="00C077C0">
      <w:r w:rsidRPr="000B0E76">
        <w:t>Overall, 19 of the Bunce sites recorded an increase in</w:t>
      </w:r>
      <w:r>
        <w:t xml:space="preserve"> signs of</w:t>
      </w:r>
      <w:r w:rsidRPr="000B0E76">
        <w:t xml:space="preserve"> deer, and only </w:t>
      </w:r>
      <w:r>
        <w:t>eight</w:t>
      </w:r>
      <w:r w:rsidRPr="000B0E76">
        <w:t xml:space="preserve"> recorded a decrease.</w:t>
      </w:r>
      <w:r>
        <w:t xml:space="preserve"> This appears to be reflected in the impact on the number of smaller stems recorded. </w:t>
      </w:r>
      <w:commentRangeStart w:id="27"/>
      <w:r>
        <w:t xml:space="preserve">At sites where a decrease in deer was noted, the mean change in the number of smaller stemmed tree species recorded was 16.4, and only 0.68 at sites where deer had increased (Table 1). </w:t>
      </w:r>
      <w:commentRangeEnd w:id="27"/>
      <w:r w:rsidR="00F50022">
        <w:rPr>
          <w:rStyle w:val="CommentReference"/>
        </w:rPr>
        <w:commentReference w:id="27"/>
      </w:r>
      <w:r>
        <w:t xml:space="preserve">There is also evidence that deer have had an effect on the number of ground flora species found. </w:t>
      </w:r>
      <w:commentRangeStart w:id="28"/>
      <w:r>
        <w:t>At sites where there has been an increase in deer, the mean change in absolute species numbers was a loss of 1.1, versus a gain of 0.98 at sites where deer decreased.</w:t>
      </w:r>
      <w:commentRangeEnd w:id="28"/>
      <w:r w:rsidR="005E3F99">
        <w:rPr>
          <w:rStyle w:val="CommentReference"/>
        </w:rPr>
        <w:commentReference w:id="28"/>
      </w:r>
    </w:p>
    <w:p w14:paraId="7BF68441" w14:textId="77777777" w:rsidR="00F72067" w:rsidRDefault="00F72067" w:rsidP="00C077C0">
      <w:pPr>
        <w:jc w:val="center"/>
        <w:rPr>
          <w:i/>
          <w:iCs/>
        </w:rPr>
      </w:pPr>
    </w:p>
    <w:p w14:paraId="3B3C9E8F" w14:textId="77777777" w:rsidR="00F72067" w:rsidRDefault="00F72067" w:rsidP="00C077C0">
      <w:pPr>
        <w:jc w:val="center"/>
        <w:rPr>
          <w:b/>
          <w:bCs/>
        </w:rPr>
      </w:pPr>
      <w:r>
        <w:rPr>
          <w:b/>
          <w:bCs/>
        </w:rPr>
        <w:t>Table 1.  Effect of deer numbers on small stems, change in mean count per site, 1971-2022</w:t>
      </w: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2790"/>
        <w:gridCol w:w="2790"/>
        <w:gridCol w:w="2790"/>
      </w:tblGrid>
      <w:tr w:rsidR="00F72067" w:rsidRPr="00123849" w14:paraId="022CFBE8" w14:textId="77777777" w:rsidTr="00C077C0">
        <w:trPr>
          <w:trHeight w:val="265"/>
          <w:jc w:val="center"/>
        </w:trPr>
        <w:tc>
          <w:tcPr>
            <w:tcW w:w="2790" w:type="dxa"/>
          </w:tcPr>
          <w:p w14:paraId="1F9BB1FD" w14:textId="77777777" w:rsidR="00F72067" w:rsidRPr="00123849" w:rsidRDefault="00F72067" w:rsidP="00C077C0">
            <w:pPr>
              <w:spacing w:line="240" w:lineRule="auto"/>
              <w:jc w:val="center"/>
              <w:rPr>
                <w:b/>
                <w:bCs/>
              </w:rPr>
            </w:pPr>
          </w:p>
        </w:tc>
        <w:tc>
          <w:tcPr>
            <w:tcW w:w="2790" w:type="dxa"/>
            <w:hideMark/>
          </w:tcPr>
          <w:p w14:paraId="3307E8D0" w14:textId="77777777" w:rsidR="00F72067" w:rsidRPr="00123849" w:rsidRDefault="00F72067" w:rsidP="00C077C0">
            <w:pPr>
              <w:spacing w:line="240" w:lineRule="auto"/>
              <w:jc w:val="center"/>
              <w:rPr>
                <w:b/>
                <w:bCs/>
              </w:rPr>
            </w:pPr>
            <w:r w:rsidRPr="00123849">
              <w:rPr>
                <w:b/>
                <w:bCs/>
              </w:rPr>
              <w:t>Increase in signs of deer</w:t>
            </w:r>
          </w:p>
        </w:tc>
        <w:tc>
          <w:tcPr>
            <w:tcW w:w="2790" w:type="dxa"/>
            <w:hideMark/>
          </w:tcPr>
          <w:p w14:paraId="517B4C5A" w14:textId="77777777" w:rsidR="00F72067" w:rsidRPr="00123849" w:rsidRDefault="00F72067" w:rsidP="00C077C0">
            <w:pPr>
              <w:spacing w:line="240" w:lineRule="auto"/>
              <w:jc w:val="center"/>
              <w:rPr>
                <w:b/>
                <w:bCs/>
              </w:rPr>
            </w:pPr>
            <w:r w:rsidRPr="00123849">
              <w:rPr>
                <w:b/>
                <w:bCs/>
              </w:rPr>
              <w:t>Decrease in signs of deer</w:t>
            </w:r>
          </w:p>
        </w:tc>
      </w:tr>
      <w:tr w:rsidR="00F72067" w:rsidRPr="00123849" w14:paraId="2A3710F8" w14:textId="77777777" w:rsidTr="00C077C0">
        <w:trPr>
          <w:trHeight w:val="265"/>
          <w:jc w:val="center"/>
        </w:trPr>
        <w:tc>
          <w:tcPr>
            <w:tcW w:w="2790" w:type="dxa"/>
            <w:hideMark/>
          </w:tcPr>
          <w:p w14:paraId="12C89347" w14:textId="77777777" w:rsidR="00F72067" w:rsidRPr="00123849" w:rsidRDefault="00F72067" w:rsidP="00C077C0">
            <w:pPr>
              <w:spacing w:line="240" w:lineRule="auto"/>
              <w:jc w:val="center"/>
              <w:rPr>
                <w:b/>
                <w:bCs/>
              </w:rPr>
            </w:pPr>
            <w:r w:rsidRPr="00123849">
              <w:rPr>
                <w:b/>
                <w:bCs/>
              </w:rPr>
              <w:t>No. of Bunce sites</w:t>
            </w:r>
          </w:p>
        </w:tc>
        <w:tc>
          <w:tcPr>
            <w:tcW w:w="2790" w:type="dxa"/>
            <w:vAlign w:val="center"/>
            <w:hideMark/>
          </w:tcPr>
          <w:p w14:paraId="33C6D3C7" w14:textId="77777777" w:rsidR="00F72067" w:rsidRPr="00123849" w:rsidRDefault="00F72067" w:rsidP="00C077C0">
            <w:pPr>
              <w:spacing w:line="240" w:lineRule="auto"/>
              <w:jc w:val="center"/>
            </w:pPr>
            <w:r w:rsidRPr="00123849">
              <w:t>19</w:t>
            </w:r>
          </w:p>
        </w:tc>
        <w:tc>
          <w:tcPr>
            <w:tcW w:w="2790" w:type="dxa"/>
            <w:vAlign w:val="center"/>
            <w:hideMark/>
          </w:tcPr>
          <w:p w14:paraId="6DB7409F" w14:textId="77777777" w:rsidR="00F72067" w:rsidRPr="00123849" w:rsidRDefault="00F72067" w:rsidP="00C077C0">
            <w:pPr>
              <w:spacing w:line="240" w:lineRule="auto"/>
              <w:jc w:val="center"/>
            </w:pPr>
            <w:r w:rsidRPr="00123849">
              <w:t>8</w:t>
            </w:r>
          </w:p>
        </w:tc>
      </w:tr>
      <w:tr w:rsidR="00F72067" w:rsidRPr="00123849" w14:paraId="5CDEA5CB" w14:textId="77777777" w:rsidTr="00C077C0">
        <w:trPr>
          <w:trHeight w:val="531"/>
          <w:jc w:val="center"/>
        </w:trPr>
        <w:tc>
          <w:tcPr>
            <w:tcW w:w="2790" w:type="dxa"/>
            <w:hideMark/>
          </w:tcPr>
          <w:p w14:paraId="1D92C1A7" w14:textId="77777777" w:rsidR="00F72067" w:rsidRPr="00123849" w:rsidRDefault="00F72067" w:rsidP="00C077C0">
            <w:pPr>
              <w:spacing w:line="240" w:lineRule="auto"/>
              <w:jc w:val="center"/>
              <w:rPr>
                <w:b/>
                <w:bCs/>
              </w:rPr>
            </w:pPr>
            <w:r w:rsidRPr="00123849">
              <w:rPr>
                <w:b/>
                <w:bCs/>
              </w:rPr>
              <w:t>Mean change in no. of smaller stemmed tree species</w:t>
            </w:r>
          </w:p>
        </w:tc>
        <w:tc>
          <w:tcPr>
            <w:tcW w:w="2790" w:type="dxa"/>
            <w:vAlign w:val="center"/>
            <w:hideMark/>
          </w:tcPr>
          <w:p w14:paraId="221BE90E" w14:textId="77777777" w:rsidR="00F72067" w:rsidRPr="00123849" w:rsidRDefault="00F72067" w:rsidP="00C077C0">
            <w:pPr>
              <w:spacing w:line="240" w:lineRule="auto"/>
              <w:jc w:val="center"/>
            </w:pPr>
            <w:r w:rsidRPr="00123849">
              <w:t>0.68</w:t>
            </w:r>
          </w:p>
        </w:tc>
        <w:tc>
          <w:tcPr>
            <w:tcW w:w="2790" w:type="dxa"/>
            <w:vAlign w:val="center"/>
            <w:hideMark/>
          </w:tcPr>
          <w:p w14:paraId="23C87935" w14:textId="77777777" w:rsidR="00F72067" w:rsidRPr="00123849" w:rsidRDefault="00F72067" w:rsidP="00C077C0">
            <w:pPr>
              <w:spacing w:line="240" w:lineRule="auto"/>
              <w:jc w:val="center"/>
            </w:pPr>
            <w:r w:rsidRPr="00123849">
              <w:t>16.4</w:t>
            </w:r>
          </w:p>
        </w:tc>
      </w:tr>
      <w:tr w:rsidR="00F72067" w:rsidRPr="00123849" w14:paraId="49F17FC6" w14:textId="77777777" w:rsidTr="00C077C0">
        <w:trPr>
          <w:trHeight w:val="531"/>
          <w:jc w:val="center"/>
        </w:trPr>
        <w:tc>
          <w:tcPr>
            <w:tcW w:w="2790" w:type="dxa"/>
            <w:hideMark/>
          </w:tcPr>
          <w:p w14:paraId="648B37C8" w14:textId="77777777" w:rsidR="00F72067" w:rsidRPr="00123849" w:rsidRDefault="00F72067" w:rsidP="00C077C0">
            <w:pPr>
              <w:spacing w:line="240" w:lineRule="auto"/>
              <w:jc w:val="center"/>
              <w:rPr>
                <w:b/>
                <w:bCs/>
              </w:rPr>
            </w:pPr>
            <w:r w:rsidRPr="00123849">
              <w:rPr>
                <w:b/>
                <w:bCs/>
              </w:rPr>
              <w:t>Mean change in no. of ground flora species</w:t>
            </w:r>
          </w:p>
        </w:tc>
        <w:tc>
          <w:tcPr>
            <w:tcW w:w="2790" w:type="dxa"/>
            <w:vAlign w:val="center"/>
            <w:hideMark/>
          </w:tcPr>
          <w:p w14:paraId="4BE7E818" w14:textId="77777777" w:rsidR="00F72067" w:rsidRPr="00123849" w:rsidRDefault="00F72067" w:rsidP="00C077C0">
            <w:pPr>
              <w:spacing w:line="240" w:lineRule="auto"/>
              <w:jc w:val="center"/>
            </w:pPr>
            <w:r w:rsidRPr="00123849">
              <w:t>-1.1</w:t>
            </w:r>
          </w:p>
        </w:tc>
        <w:tc>
          <w:tcPr>
            <w:tcW w:w="2790" w:type="dxa"/>
            <w:vAlign w:val="center"/>
            <w:hideMark/>
          </w:tcPr>
          <w:p w14:paraId="1ABFC4E7" w14:textId="77777777" w:rsidR="00F72067" w:rsidRPr="00123849" w:rsidRDefault="00F72067" w:rsidP="00C077C0">
            <w:pPr>
              <w:spacing w:line="240" w:lineRule="auto"/>
              <w:jc w:val="center"/>
            </w:pPr>
            <w:r w:rsidRPr="00123849">
              <w:t>0.98</w:t>
            </w:r>
          </w:p>
        </w:tc>
      </w:tr>
    </w:tbl>
    <w:p w14:paraId="50BFAF10" w14:textId="77777777" w:rsidR="00F72067" w:rsidRPr="00F775F5" w:rsidRDefault="00F72067" w:rsidP="00C077C0">
      <w:pPr>
        <w:jc w:val="center"/>
        <w:rPr>
          <w:b/>
          <w:bCs/>
        </w:rPr>
      </w:pPr>
    </w:p>
    <w:p w14:paraId="64ABD45F" w14:textId="77777777" w:rsidR="00F72067" w:rsidRDefault="00F72067" w:rsidP="00C077C0">
      <w:pPr>
        <w:rPr>
          <w:noProof/>
        </w:rPr>
      </w:pPr>
      <w:r>
        <w:t>Heavy deer grazing is known to reduce palatable species such as bilberry/blaeberry (</w:t>
      </w:r>
      <w:r w:rsidRPr="003A72CD">
        <w:rPr>
          <w:i/>
          <w:iCs/>
        </w:rPr>
        <w:t>Vaccinium myrtillus</w:t>
      </w:r>
      <w:r>
        <w:rPr>
          <w:i/>
          <w:iCs/>
        </w:rPr>
        <w:t xml:space="preserve">) </w:t>
      </w:r>
      <w:r w:rsidRPr="00416C02">
        <w:t>and increase unpalatable ones, such as</w:t>
      </w:r>
      <w:r>
        <w:rPr>
          <w:i/>
          <w:iCs/>
        </w:rPr>
        <w:t xml:space="preserve"> </w:t>
      </w:r>
      <w:r w:rsidRPr="00AB1F1E">
        <w:t>b</w:t>
      </w:r>
      <w:r w:rsidRPr="00F75527">
        <w:t>racken</w:t>
      </w:r>
      <w:r>
        <w:rPr>
          <w:i/>
          <w:iCs/>
        </w:rPr>
        <w:t xml:space="preserve"> (</w:t>
      </w:r>
      <w:r w:rsidRPr="00416C02">
        <w:rPr>
          <w:i/>
          <w:iCs/>
        </w:rPr>
        <w:t>Pteridium aquilinum</w:t>
      </w:r>
      <w:r>
        <w:rPr>
          <w:i/>
          <w:iCs/>
        </w:rPr>
        <w:t xml:space="preserve">) </w:t>
      </w:r>
      <w:r w:rsidRPr="00416C02">
        <w:rPr>
          <w:noProof/>
        </w:rPr>
        <w:t>(Kirby, 2001)</w:t>
      </w:r>
      <w:r w:rsidRPr="00416C02">
        <w:t xml:space="preserve">. </w:t>
      </w:r>
      <w:commentRangeStart w:id="29"/>
      <w:r w:rsidRPr="00416C02">
        <w:t>I</w:t>
      </w:r>
      <w:r>
        <w:t>n</w:t>
      </w:r>
      <w:r w:rsidRPr="00416C02">
        <w:t xml:space="preserve"> the pinewoods, both these species have declined a very small amount</w:t>
      </w:r>
      <w:r>
        <w:t xml:space="preserve"> overall, therefore it is difficult to discern an effect of deer grazing in relation to them. The data could, however, be used to investigate this issue in more detail at the individual site level.</w:t>
      </w:r>
      <w:commentRangeEnd w:id="29"/>
      <w:r w:rsidR="00F50022">
        <w:rPr>
          <w:rStyle w:val="CommentReference"/>
        </w:rPr>
        <w:commentReference w:id="29"/>
      </w:r>
      <w:r>
        <w:t xml:space="preserve"> Preliminary analysis of the data reinforces the finding by</w:t>
      </w:r>
      <w:r w:rsidRPr="00566622">
        <w:rPr>
          <w:noProof/>
        </w:rPr>
        <w:t xml:space="preserve"> </w:t>
      </w:r>
      <w:r>
        <w:rPr>
          <w:noProof/>
        </w:rPr>
        <w:t>Kirby (2001)</w:t>
      </w:r>
      <w:r>
        <w:t xml:space="preserve"> in broadleaved woodlands that grasses tend to thrive under heavy grazing.  Table 2 demonstrates that sites with evidence of an increase in deer signs have a </w:t>
      </w:r>
      <w:commentRangeStart w:id="30"/>
      <w:r>
        <w:t>smaller loss in the occurrence of grass species than those in sites with a decrease in deer signs</w:t>
      </w:r>
      <w:commentRangeEnd w:id="30"/>
      <w:r w:rsidR="00F50022">
        <w:rPr>
          <w:rStyle w:val="CommentReference"/>
        </w:rPr>
        <w:commentReference w:id="30"/>
      </w:r>
      <w:r>
        <w:t>.</w:t>
      </w:r>
      <w:r w:rsidRPr="00D73A60">
        <w:rPr>
          <w:noProof/>
        </w:rPr>
        <w:t xml:space="preserve"> </w:t>
      </w:r>
      <w:r>
        <w:rPr>
          <w:noProof/>
        </w:rPr>
        <w:t>The oposite is true in terms of heather species (</w:t>
      </w:r>
      <w:r w:rsidRPr="00566622">
        <w:rPr>
          <w:i/>
          <w:iCs/>
          <w:noProof/>
        </w:rPr>
        <w:t>Erica</w:t>
      </w:r>
      <w:r>
        <w:rPr>
          <w:noProof/>
        </w:rPr>
        <w:t xml:space="preserve"> spp. and </w:t>
      </w:r>
      <w:r w:rsidRPr="00566622">
        <w:rPr>
          <w:i/>
          <w:iCs/>
          <w:noProof/>
        </w:rPr>
        <w:t>Calluna</w:t>
      </w:r>
      <w:r>
        <w:rPr>
          <w:noProof/>
        </w:rPr>
        <w:t xml:space="preserve"> spp.) as also might be expected (Kirby, 2001; Baines et al., 1994).</w:t>
      </w:r>
    </w:p>
    <w:p w14:paraId="2EFF3F5E" w14:textId="77777777" w:rsidR="00F72067" w:rsidRDefault="00F72067" w:rsidP="00C077C0">
      <w:pPr>
        <w:rPr>
          <w:noProof/>
        </w:rPr>
      </w:pPr>
    </w:p>
    <w:p w14:paraId="112EC07C" w14:textId="77777777" w:rsidR="00F72067" w:rsidRDefault="00F72067" w:rsidP="00C077C0">
      <w:pPr>
        <w:jc w:val="center"/>
        <w:rPr>
          <w:b/>
          <w:bCs/>
        </w:rPr>
      </w:pPr>
      <w:r>
        <w:rPr>
          <w:b/>
          <w:bCs/>
        </w:rPr>
        <w:t>Table 2.  Effect of deer numbers on the c</w:t>
      </w:r>
      <w:r w:rsidRPr="0081613B">
        <w:rPr>
          <w:b/>
          <w:bCs/>
        </w:rPr>
        <w:t>hange in the overall mean occurrence count of grass and heather specie</w:t>
      </w:r>
      <w:r>
        <w:rPr>
          <w:b/>
          <w:bCs/>
        </w:rPr>
        <w:t>s, change in mean count per site, 1971-2022</w:t>
      </w: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2790"/>
        <w:gridCol w:w="2790"/>
        <w:gridCol w:w="2790"/>
      </w:tblGrid>
      <w:tr w:rsidR="00F72067" w:rsidRPr="00123849" w14:paraId="2F628E1C" w14:textId="77777777" w:rsidTr="00C077C0">
        <w:trPr>
          <w:trHeight w:val="265"/>
          <w:jc w:val="center"/>
        </w:trPr>
        <w:tc>
          <w:tcPr>
            <w:tcW w:w="2790" w:type="dxa"/>
          </w:tcPr>
          <w:p w14:paraId="499B0586" w14:textId="77777777" w:rsidR="00F72067" w:rsidRPr="00123849" w:rsidRDefault="00F72067" w:rsidP="00C077C0">
            <w:pPr>
              <w:spacing w:line="240" w:lineRule="auto"/>
              <w:jc w:val="center"/>
              <w:rPr>
                <w:b/>
                <w:bCs/>
              </w:rPr>
            </w:pPr>
          </w:p>
        </w:tc>
        <w:tc>
          <w:tcPr>
            <w:tcW w:w="2790" w:type="dxa"/>
            <w:hideMark/>
          </w:tcPr>
          <w:p w14:paraId="5B2FD386" w14:textId="77777777" w:rsidR="00F72067" w:rsidRPr="00123849" w:rsidRDefault="00F72067" w:rsidP="00C077C0">
            <w:pPr>
              <w:spacing w:line="240" w:lineRule="auto"/>
              <w:jc w:val="center"/>
              <w:rPr>
                <w:b/>
                <w:bCs/>
              </w:rPr>
            </w:pPr>
            <w:r w:rsidRPr="00123849">
              <w:rPr>
                <w:b/>
                <w:bCs/>
              </w:rPr>
              <w:t>Increase in signs of deer</w:t>
            </w:r>
          </w:p>
        </w:tc>
        <w:tc>
          <w:tcPr>
            <w:tcW w:w="2790" w:type="dxa"/>
            <w:hideMark/>
          </w:tcPr>
          <w:p w14:paraId="54D2A075" w14:textId="77777777" w:rsidR="00F72067" w:rsidRPr="00123849" w:rsidRDefault="00F72067" w:rsidP="00C077C0">
            <w:pPr>
              <w:spacing w:line="240" w:lineRule="auto"/>
              <w:jc w:val="center"/>
              <w:rPr>
                <w:b/>
                <w:bCs/>
              </w:rPr>
            </w:pPr>
            <w:r w:rsidRPr="00123849">
              <w:rPr>
                <w:b/>
                <w:bCs/>
              </w:rPr>
              <w:t>Decrease in signs of deer</w:t>
            </w:r>
          </w:p>
        </w:tc>
      </w:tr>
      <w:tr w:rsidR="00F72067" w:rsidRPr="00123849" w14:paraId="39DBF537" w14:textId="77777777" w:rsidTr="00C077C0">
        <w:trPr>
          <w:trHeight w:val="265"/>
          <w:jc w:val="center"/>
        </w:trPr>
        <w:tc>
          <w:tcPr>
            <w:tcW w:w="2790" w:type="dxa"/>
            <w:hideMark/>
          </w:tcPr>
          <w:p w14:paraId="72F28755" w14:textId="77777777" w:rsidR="00F72067" w:rsidRPr="00123849" w:rsidRDefault="00F72067" w:rsidP="00C077C0">
            <w:pPr>
              <w:spacing w:line="240" w:lineRule="auto"/>
              <w:jc w:val="center"/>
              <w:rPr>
                <w:b/>
                <w:bCs/>
              </w:rPr>
            </w:pPr>
            <w:r w:rsidRPr="00123849">
              <w:rPr>
                <w:b/>
                <w:bCs/>
              </w:rPr>
              <w:t>No. of Bunce sites</w:t>
            </w:r>
          </w:p>
        </w:tc>
        <w:tc>
          <w:tcPr>
            <w:tcW w:w="2790" w:type="dxa"/>
            <w:vAlign w:val="center"/>
            <w:hideMark/>
          </w:tcPr>
          <w:p w14:paraId="5D3ECCCD" w14:textId="77777777" w:rsidR="00F72067" w:rsidRPr="00123849" w:rsidRDefault="00F72067" w:rsidP="00C077C0">
            <w:pPr>
              <w:spacing w:line="240" w:lineRule="auto"/>
              <w:jc w:val="center"/>
            </w:pPr>
            <w:r w:rsidRPr="00123849">
              <w:t>19</w:t>
            </w:r>
          </w:p>
        </w:tc>
        <w:tc>
          <w:tcPr>
            <w:tcW w:w="2790" w:type="dxa"/>
            <w:vAlign w:val="center"/>
            <w:hideMark/>
          </w:tcPr>
          <w:p w14:paraId="4D43B74D" w14:textId="77777777" w:rsidR="00F72067" w:rsidRPr="00123849" w:rsidRDefault="00F72067" w:rsidP="00C077C0">
            <w:pPr>
              <w:spacing w:line="240" w:lineRule="auto"/>
              <w:jc w:val="center"/>
            </w:pPr>
            <w:r w:rsidRPr="00123849">
              <w:t>8</w:t>
            </w:r>
          </w:p>
        </w:tc>
      </w:tr>
      <w:tr w:rsidR="00F72067" w:rsidRPr="00123849" w14:paraId="535671D7" w14:textId="77777777" w:rsidTr="00C077C0">
        <w:trPr>
          <w:trHeight w:val="531"/>
          <w:jc w:val="center"/>
        </w:trPr>
        <w:tc>
          <w:tcPr>
            <w:tcW w:w="2790" w:type="dxa"/>
            <w:hideMark/>
          </w:tcPr>
          <w:p w14:paraId="465B1C91" w14:textId="77777777" w:rsidR="00F72067" w:rsidRPr="00123849" w:rsidRDefault="00F72067" w:rsidP="00C077C0">
            <w:pPr>
              <w:spacing w:line="240" w:lineRule="auto"/>
              <w:jc w:val="center"/>
              <w:rPr>
                <w:b/>
                <w:bCs/>
              </w:rPr>
            </w:pPr>
            <w:r w:rsidRPr="00123849">
              <w:rPr>
                <w:b/>
                <w:bCs/>
              </w:rPr>
              <w:t xml:space="preserve">Mean change in no. of </w:t>
            </w:r>
            <w:r>
              <w:rPr>
                <w:b/>
                <w:bCs/>
              </w:rPr>
              <w:t>grass species per site</w:t>
            </w:r>
          </w:p>
        </w:tc>
        <w:tc>
          <w:tcPr>
            <w:tcW w:w="2790" w:type="dxa"/>
            <w:vAlign w:val="center"/>
          </w:tcPr>
          <w:p w14:paraId="3063BB7F" w14:textId="77777777" w:rsidR="00F72067" w:rsidRPr="00123849" w:rsidRDefault="00F72067" w:rsidP="00C077C0">
            <w:pPr>
              <w:spacing w:line="240" w:lineRule="auto"/>
              <w:jc w:val="center"/>
            </w:pPr>
            <w:r w:rsidRPr="0081613B">
              <w:t>-5.28</w:t>
            </w:r>
          </w:p>
        </w:tc>
        <w:tc>
          <w:tcPr>
            <w:tcW w:w="2790" w:type="dxa"/>
            <w:vAlign w:val="center"/>
          </w:tcPr>
          <w:p w14:paraId="7D1CC249" w14:textId="77777777" w:rsidR="00F72067" w:rsidRPr="00123849" w:rsidRDefault="00F72067" w:rsidP="00C077C0">
            <w:pPr>
              <w:spacing w:line="240" w:lineRule="auto"/>
              <w:jc w:val="center"/>
            </w:pPr>
            <w:r w:rsidRPr="0081613B">
              <w:t>-9.88</w:t>
            </w:r>
          </w:p>
        </w:tc>
      </w:tr>
      <w:tr w:rsidR="00F72067" w:rsidRPr="00123849" w14:paraId="76BA6B31" w14:textId="77777777" w:rsidTr="00C077C0">
        <w:trPr>
          <w:trHeight w:val="531"/>
          <w:jc w:val="center"/>
        </w:trPr>
        <w:tc>
          <w:tcPr>
            <w:tcW w:w="2790" w:type="dxa"/>
            <w:hideMark/>
          </w:tcPr>
          <w:p w14:paraId="365A20BE" w14:textId="77777777" w:rsidR="00F72067" w:rsidRPr="00123849" w:rsidRDefault="00F72067" w:rsidP="00C077C0">
            <w:pPr>
              <w:spacing w:line="240" w:lineRule="auto"/>
              <w:jc w:val="center"/>
              <w:rPr>
                <w:b/>
                <w:bCs/>
              </w:rPr>
            </w:pPr>
            <w:commentRangeStart w:id="31"/>
            <w:r w:rsidRPr="00123849">
              <w:rPr>
                <w:b/>
                <w:bCs/>
              </w:rPr>
              <w:t xml:space="preserve">Mean change in no. of </w:t>
            </w:r>
            <w:r>
              <w:rPr>
                <w:b/>
                <w:bCs/>
              </w:rPr>
              <w:t>heather species per site</w:t>
            </w:r>
            <w:commentRangeEnd w:id="31"/>
            <w:r w:rsidR="00095564">
              <w:rPr>
                <w:rStyle w:val="CommentReference"/>
              </w:rPr>
              <w:commentReference w:id="31"/>
            </w:r>
          </w:p>
        </w:tc>
        <w:tc>
          <w:tcPr>
            <w:tcW w:w="2790" w:type="dxa"/>
            <w:vAlign w:val="center"/>
          </w:tcPr>
          <w:p w14:paraId="3AA6F87C" w14:textId="77777777" w:rsidR="00F72067" w:rsidRPr="00123849" w:rsidRDefault="00F72067" w:rsidP="00C077C0">
            <w:pPr>
              <w:spacing w:line="240" w:lineRule="auto"/>
              <w:jc w:val="center"/>
            </w:pPr>
            <w:r w:rsidRPr="0081613B">
              <w:t>-2.83</w:t>
            </w:r>
          </w:p>
        </w:tc>
        <w:tc>
          <w:tcPr>
            <w:tcW w:w="2790" w:type="dxa"/>
            <w:vAlign w:val="center"/>
          </w:tcPr>
          <w:p w14:paraId="32977042" w14:textId="77777777" w:rsidR="00F72067" w:rsidRPr="00123849" w:rsidRDefault="00F72067" w:rsidP="00C077C0">
            <w:pPr>
              <w:spacing w:line="240" w:lineRule="auto"/>
              <w:jc w:val="center"/>
            </w:pPr>
            <w:r w:rsidRPr="0081613B">
              <w:t>-0.75</w:t>
            </w:r>
          </w:p>
        </w:tc>
      </w:tr>
    </w:tbl>
    <w:p w14:paraId="68AF211F" w14:textId="77777777" w:rsidR="00F72067" w:rsidRPr="00F775F5" w:rsidRDefault="00F72067" w:rsidP="00C077C0">
      <w:pPr>
        <w:jc w:val="center"/>
        <w:rPr>
          <w:b/>
          <w:bCs/>
        </w:rPr>
      </w:pPr>
    </w:p>
    <w:p w14:paraId="219698E0" w14:textId="77777777" w:rsidR="00F72067" w:rsidRDefault="00F72067" w:rsidP="00C077C0">
      <w:pPr>
        <w:rPr>
          <w:i/>
          <w:iCs/>
        </w:rPr>
      </w:pPr>
    </w:p>
    <w:p w14:paraId="29739175" w14:textId="77777777" w:rsidR="00F72067" w:rsidRDefault="00F72067" w:rsidP="00C077C0"/>
    <w:p w14:paraId="51A0054D" w14:textId="77777777" w:rsidR="00F72067" w:rsidRDefault="00F72067" w:rsidP="00C077C0">
      <w:pPr>
        <w:rPr>
          <w:b/>
          <w:bCs/>
        </w:rPr>
      </w:pPr>
      <w:r w:rsidRPr="00F775F5">
        <w:rPr>
          <w:b/>
          <w:bCs/>
        </w:rPr>
        <w:t>3.</w:t>
      </w:r>
      <w:r>
        <w:rPr>
          <w:b/>
          <w:bCs/>
        </w:rPr>
        <w:t>4</w:t>
      </w:r>
      <w:r w:rsidRPr="00F775F5">
        <w:rPr>
          <w:b/>
          <w:bCs/>
        </w:rPr>
        <w:t xml:space="preserve"> </w:t>
      </w:r>
      <w:bookmarkStart w:id="32" w:name="_Hlk209601776"/>
      <w:r>
        <w:rPr>
          <w:b/>
          <w:bCs/>
        </w:rPr>
        <w:t>Effects of c</w:t>
      </w:r>
      <w:r w:rsidRPr="00F775F5">
        <w:rPr>
          <w:b/>
          <w:bCs/>
        </w:rPr>
        <w:t>limate change</w:t>
      </w:r>
      <w:bookmarkEnd w:id="32"/>
      <w:r>
        <w:rPr>
          <w:b/>
          <w:bCs/>
        </w:rPr>
        <w:t xml:space="preserve"> on ground flora</w:t>
      </w:r>
    </w:p>
    <w:p w14:paraId="02F845F9" w14:textId="77777777" w:rsidR="00F72067" w:rsidRDefault="00F72067" w:rsidP="00C077C0">
      <w:r>
        <w:t xml:space="preserve">All sites were wetter in 2022 than they were in 1971, with a mean increase of 341mm overall </w:t>
      </w:r>
      <w:r>
        <w:rPr>
          <w:noProof/>
        </w:rPr>
        <w:t>(Met Office, 2024)</w:t>
      </w:r>
      <w:r>
        <w:t>. The wettest group (Southern Group) is also the group with the highest rainfall increase, i.e. the wettest sites are getting wetter. The mean daily temperature overall has risen from 7.5</w:t>
      </w:r>
      <w:r w:rsidRPr="003B10FB">
        <w:rPr>
          <w:vertAlign w:val="superscript"/>
        </w:rPr>
        <w:t>o</w:t>
      </w:r>
      <w:r>
        <w:t>C in 1971 to 8.3</w:t>
      </w:r>
      <w:r w:rsidRPr="003B10FB">
        <w:rPr>
          <w:vertAlign w:val="superscript"/>
        </w:rPr>
        <w:t>o</w:t>
      </w:r>
      <w:r>
        <w:t>C in 2022. Approximately</w:t>
      </w:r>
      <w:r w:rsidRPr="001E3C21">
        <w:t xml:space="preserve"> </w:t>
      </w:r>
      <w:r>
        <w:t>one</w:t>
      </w:r>
      <w:r w:rsidRPr="001E3C21">
        <w:t xml:space="preserve"> third of the sites have</w:t>
      </w:r>
      <w:r>
        <w:t xml:space="preserve"> a mean </w:t>
      </w:r>
      <w:r w:rsidRPr="001E3C21">
        <w:t>winter min</w:t>
      </w:r>
      <w:r>
        <w:t>imum</w:t>
      </w:r>
      <w:r w:rsidRPr="001E3C21">
        <w:t xml:space="preserve"> temp</w:t>
      </w:r>
      <w:r>
        <w:t>erature</w:t>
      </w:r>
      <w:r w:rsidRPr="001E3C21">
        <w:t xml:space="preserve"> above </w:t>
      </w:r>
      <w:r>
        <w:t>freezing point</w:t>
      </w:r>
      <w:r w:rsidRPr="001E3C21">
        <w:t xml:space="preserve"> </w:t>
      </w:r>
      <w:r>
        <w:t>between</w:t>
      </w:r>
      <w:r w:rsidRPr="001E3C21">
        <w:t xml:space="preserve"> 1991</w:t>
      </w:r>
      <w:r>
        <w:t xml:space="preserve"> and </w:t>
      </w:r>
      <w:r w:rsidRPr="001E3C21">
        <w:t>2020</w:t>
      </w:r>
      <w:r>
        <w:t xml:space="preserve"> </w:t>
      </w:r>
      <w:r>
        <w:rPr>
          <w:noProof/>
        </w:rPr>
        <w:t>(Met Office, 2025b)</w:t>
      </w:r>
      <w:r>
        <w:t>. This is an increase from</w:t>
      </w:r>
      <w:r w:rsidRPr="001E3C21">
        <w:t xml:space="preserve"> only five sites </w:t>
      </w:r>
      <w:r>
        <w:t xml:space="preserve">between </w:t>
      </w:r>
      <w:r w:rsidRPr="001E3C21">
        <w:t>1941</w:t>
      </w:r>
      <w:r>
        <w:t xml:space="preserve"> and </w:t>
      </w:r>
      <w:r w:rsidRPr="001E3C21">
        <w:t>1970</w:t>
      </w:r>
      <w:r>
        <w:t>.</w:t>
      </w:r>
    </w:p>
    <w:p w14:paraId="09A1239F" w14:textId="77777777" w:rsidR="00F72067" w:rsidRDefault="00F72067" w:rsidP="00C077C0">
      <w:commentRangeStart w:id="33"/>
      <w:r w:rsidRPr="008744E9">
        <w:t>Wetland</w:t>
      </w:r>
      <w:commentRangeEnd w:id="33"/>
      <w:r w:rsidR="00095564">
        <w:rPr>
          <w:rStyle w:val="CommentReference"/>
        </w:rPr>
        <w:commentReference w:id="33"/>
      </w:r>
      <w:r w:rsidRPr="008744E9">
        <w:t xml:space="preserve"> plant</w:t>
      </w:r>
      <w:r>
        <w:t xml:space="preserve">s </w:t>
      </w:r>
      <w:r w:rsidRPr="008744E9">
        <w:t xml:space="preserve">are well-represented in the top </w:t>
      </w:r>
      <w:r>
        <w:t>2</w:t>
      </w:r>
      <w:r w:rsidRPr="008744E9">
        <w:t xml:space="preserve">5 </w:t>
      </w:r>
      <w:r>
        <w:t>most frequently recorded species</w:t>
      </w:r>
      <w:r w:rsidRPr="008744E9">
        <w:t xml:space="preserve"> including </w:t>
      </w:r>
      <w:r>
        <w:t>d</w:t>
      </w:r>
      <w:r w:rsidRPr="008744E9">
        <w:t>eergrass</w:t>
      </w:r>
      <w:r>
        <w:t xml:space="preserve"> (</w:t>
      </w:r>
      <w:proofErr w:type="spellStart"/>
      <w:r w:rsidRPr="008744E9">
        <w:rPr>
          <w:i/>
          <w:iCs/>
        </w:rPr>
        <w:t>Trichophorum</w:t>
      </w:r>
      <w:proofErr w:type="spellEnd"/>
      <w:r w:rsidRPr="008744E9">
        <w:rPr>
          <w:i/>
          <w:iCs/>
        </w:rPr>
        <w:t xml:space="preserve"> </w:t>
      </w:r>
      <w:proofErr w:type="spellStart"/>
      <w:r>
        <w:rPr>
          <w:i/>
          <w:iCs/>
        </w:rPr>
        <w:t>germanicum</w:t>
      </w:r>
      <w:proofErr w:type="spellEnd"/>
      <w:r>
        <w:t>)</w:t>
      </w:r>
      <w:r w:rsidRPr="008744E9">
        <w:t xml:space="preserve">, </w:t>
      </w:r>
      <w:r>
        <w:t>p</w:t>
      </w:r>
      <w:r w:rsidRPr="008744E9">
        <w:t>urple moor-grass</w:t>
      </w:r>
      <w:r>
        <w:t xml:space="preserve"> (</w:t>
      </w:r>
      <w:r w:rsidRPr="008744E9">
        <w:rPr>
          <w:i/>
          <w:iCs/>
        </w:rPr>
        <w:t>Molinia caerulea</w:t>
      </w:r>
      <w:r>
        <w:t>)</w:t>
      </w:r>
      <w:r w:rsidRPr="008744E9">
        <w:t xml:space="preserve"> and </w:t>
      </w:r>
      <w:r>
        <w:t>s</w:t>
      </w:r>
      <w:r w:rsidRPr="008744E9">
        <w:t>tar sedge</w:t>
      </w:r>
      <w:r>
        <w:t xml:space="preserve"> (</w:t>
      </w:r>
      <w:proofErr w:type="spellStart"/>
      <w:r w:rsidRPr="008744E9">
        <w:rPr>
          <w:i/>
          <w:iCs/>
        </w:rPr>
        <w:t>Carex</w:t>
      </w:r>
      <w:proofErr w:type="spellEnd"/>
      <w:r w:rsidRPr="008744E9">
        <w:rPr>
          <w:i/>
          <w:iCs/>
        </w:rPr>
        <w:t xml:space="preserve"> echinata</w:t>
      </w:r>
      <w:r>
        <w:rPr>
          <w:i/>
          <w:iCs/>
        </w:rPr>
        <w:t>)</w:t>
      </w:r>
      <w:r w:rsidRPr="008744E9">
        <w:t xml:space="preserve">.  </w:t>
      </w:r>
      <w:r>
        <w:t>An</w:t>
      </w:r>
      <w:r w:rsidRPr="008744E9">
        <w:t xml:space="preserve"> increase </w:t>
      </w:r>
      <w:r>
        <w:t xml:space="preserve">in these species since 1971 </w:t>
      </w:r>
      <w:r w:rsidRPr="008744E9">
        <w:t xml:space="preserve">is likely to be linked to the increase in </w:t>
      </w:r>
      <w:r>
        <w:t xml:space="preserve">climatic </w:t>
      </w:r>
      <w:r w:rsidRPr="008744E9">
        <w:t>wetness.</w:t>
      </w:r>
    </w:p>
    <w:p w14:paraId="05E04D28" w14:textId="77777777" w:rsidR="00F72067" w:rsidRDefault="00F72067" w:rsidP="00C077C0">
      <w:r w:rsidRPr="00406FAD">
        <w:t>In terms of rare or plants diagnostic of the pinewood,</w:t>
      </w:r>
      <w:r>
        <w:t xml:space="preserve"> two have increased: </w:t>
      </w:r>
      <w:r w:rsidRPr="00B07DCB">
        <w:t>The orchid</w:t>
      </w:r>
      <w:r>
        <w:rPr>
          <w:i/>
          <w:iCs/>
        </w:rPr>
        <w:t xml:space="preserve"> </w:t>
      </w:r>
      <w:proofErr w:type="spellStart"/>
      <w:r w:rsidRPr="00280FCF">
        <w:rPr>
          <w:i/>
          <w:iCs/>
        </w:rPr>
        <w:t>Goodyera</w:t>
      </w:r>
      <w:proofErr w:type="spellEnd"/>
      <w:r w:rsidRPr="00280FCF">
        <w:rPr>
          <w:i/>
          <w:iCs/>
        </w:rPr>
        <w:t xml:space="preserve"> repens</w:t>
      </w:r>
      <w:r>
        <w:rPr>
          <w:i/>
          <w:iCs/>
        </w:rPr>
        <w:t xml:space="preserve"> </w:t>
      </w:r>
      <w:r w:rsidRPr="00280FCF">
        <w:t xml:space="preserve">was recorded 23 times (in 1971 it was recorded 14 times), and </w:t>
      </w:r>
      <w:r>
        <w:t>bearberry (</w:t>
      </w:r>
      <w:r w:rsidRPr="00280FCF">
        <w:rPr>
          <w:i/>
          <w:iCs/>
        </w:rPr>
        <w:t>Arctostaphylos uva-</w:t>
      </w:r>
      <w:proofErr w:type="spellStart"/>
      <w:r w:rsidRPr="00280FCF">
        <w:rPr>
          <w:i/>
          <w:iCs/>
        </w:rPr>
        <w:t>ursi</w:t>
      </w:r>
      <w:proofErr w:type="spellEnd"/>
      <w:r>
        <w:rPr>
          <w:i/>
          <w:iCs/>
        </w:rPr>
        <w:t>)</w:t>
      </w:r>
      <w:r w:rsidRPr="00280FCF">
        <w:t xml:space="preserve"> was recorded 59 times (in 1971, 12 times). </w:t>
      </w:r>
      <w:r>
        <w:t>Common cow wheat (</w:t>
      </w:r>
      <w:proofErr w:type="spellStart"/>
      <w:r w:rsidRPr="00280FCF">
        <w:rPr>
          <w:i/>
          <w:iCs/>
        </w:rPr>
        <w:t>Melampyrum</w:t>
      </w:r>
      <w:proofErr w:type="spellEnd"/>
      <w:r w:rsidRPr="00280FCF">
        <w:rPr>
          <w:i/>
          <w:iCs/>
        </w:rPr>
        <w:t xml:space="preserve"> pratense</w:t>
      </w:r>
      <w:r>
        <w:rPr>
          <w:i/>
          <w:iCs/>
        </w:rPr>
        <w:t>)</w:t>
      </w:r>
      <w:r w:rsidRPr="00280FCF">
        <w:t xml:space="preserve"> was recorded 43 times</w:t>
      </w:r>
      <w:r>
        <w:t xml:space="preserve">, a decrease from </w:t>
      </w:r>
      <w:r w:rsidRPr="00280FCF">
        <w:t>130 times</w:t>
      </w:r>
      <w:r>
        <w:t xml:space="preserve"> in 1971. </w:t>
      </w:r>
      <w:commentRangeStart w:id="34"/>
      <w:r>
        <w:t xml:space="preserve">This is a plant that thrives in open ground </w:t>
      </w:r>
      <w:commentRangeEnd w:id="34"/>
      <w:r w:rsidR="00095564">
        <w:rPr>
          <w:rStyle w:val="CommentReference"/>
        </w:rPr>
        <w:commentReference w:id="34"/>
      </w:r>
      <w:r>
        <w:t>so perhaps indicates increased shade in the woods.</w:t>
      </w:r>
    </w:p>
    <w:p w14:paraId="08FC9918" w14:textId="77777777" w:rsidR="00F72067" w:rsidRDefault="00F72067" w:rsidP="00C077C0"/>
    <w:p w14:paraId="5D89E052" w14:textId="77777777" w:rsidR="00F72067" w:rsidRPr="00E24D65" w:rsidRDefault="00F72067" w:rsidP="00C077C0">
      <w:pPr>
        <w:rPr>
          <w:b/>
          <w:bCs/>
        </w:rPr>
      </w:pPr>
      <w:r>
        <w:rPr>
          <w:b/>
          <w:bCs/>
        </w:rPr>
        <w:t xml:space="preserve">3.5 </w:t>
      </w:r>
      <w:bookmarkStart w:id="35" w:name="_Hlk209601769"/>
      <w:r>
        <w:rPr>
          <w:b/>
          <w:bCs/>
        </w:rPr>
        <w:t>Additional changes in ground flora</w:t>
      </w:r>
      <w:bookmarkEnd w:id="35"/>
      <w:r>
        <w:rPr>
          <w:b/>
          <w:bCs/>
        </w:rPr>
        <w:t xml:space="preserve"> composition </w:t>
      </w:r>
    </w:p>
    <w:p w14:paraId="0D6FA258" w14:textId="77777777" w:rsidR="00F72067" w:rsidRPr="001C383C" w:rsidRDefault="00F72067" w:rsidP="00C077C0">
      <w:r>
        <w:t>S</w:t>
      </w:r>
      <w:r w:rsidRPr="005B002C">
        <w:t>pecies</w:t>
      </w:r>
      <w:r>
        <w:t xml:space="preserve"> </w:t>
      </w:r>
      <w:r w:rsidRPr="005B002C">
        <w:t>richness has declined</w:t>
      </w:r>
      <w:r>
        <w:t xml:space="preserve"> across all sites</w:t>
      </w:r>
      <w:r w:rsidRPr="005B002C">
        <w:t xml:space="preserve"> from a</w:t>
      </w:r>
      <w:r>
        <w:t xml:space="preserve"> mean </w:t>
      </w:r>
      <w:r w:rsidRPr="005B002C">
        <w:t>of 18.6 species in 1971, to 17.5 species in the 2020s.</w:t>
      </w:r>
      <w:r>
        <w:t xml:space="preserve"> </w:t>
      </w:r>
      <w:r w:rsidRPr="005B002C">
        <w:t xml:space="preserve">However, this </w:t>
      </w:r>
      <w:r>
        <w:t>mean</w:t>
      </w:r>
      <w:r w:rsidRPr="005B002C">
        <w:t xml:space="preserve"> figure belies the large amount of variation </w:t>
      </w:r>
      <w:r>
        <w:t>between sites</w:t>
      </w:r>
      <w:r w:rsidRPr="005B002C">
        <w:t>.</w:t>
      </w:r>
      <w:r>
        <w:t xml:space="preserve"> A table showing the a</w:t>
      </w:r>
      <w:r w:rsidRPr="00F775F5">
        <w:t xml:space="preserve">verage number of species per site and relative </w:t>
      </w:r>
      <w:r>
        <w:t>and</w:t>
      </w:r>
      <w:r w:rsidRPr="00F775F5">
        <w:t xml:space="preserve"> absolute change between survey</w:t>
      </w:r>
      <w:r>
        <w:t xml:space="preserve">s can be found in the Supplementary Material (Table S3), along with a </w:t>
      </w:r>
      <w:bookmarkStart w:id="36" w:name="_Hlk201590880"/>
      <w:bookmarkStart w:id="37" w:name="_Hlk193963165"/>
      <w:r w:rsidRPr="00566622">
        <w:t>list</w:t>
      </w:r>
      <w:r w:rsidRPr="00386555">
        <w:rPr>
          <w:b/>
          <w:bCs/>
        </w:rPr>
        <w:t xml:space="preserve"> </w:t>
      </w:r>
      <w:r w:rsidRPr="001C383C">
        <w:t>of the top 25 ground flora species recorded in</w:t>
      </w:r>
      <w:r>
        <w:t xml:space="preserve"> the</w:t>
      </w:r>
      <w:r w:rsidRPr="001C383C">
        <w:t xml:space="preserve"> 2018-2022 survey</w:t>
      </w:r>
      <w:r>
        <w:t xml:space="preserve"> (Table S4)</w:t>
      </w:r>
      <w:r w:rsidRPr="001C383C">
        <w:t>.</w:t>
      </w:r>
    </w:p>
    <w:bookmarkEnd w:id="36"/>
    <w:bookmarkEnd w:id="37"/>
    <w:p w14:paraId="0EB3B821" w14:textId="77777777" w:rsidR="00F72067" w:rsidRDefault="00F72067" w:rsidP="00C077C0">
      <w:r>
        <w:t xml:space="preserve">Several sites have shown an overall increase, in particular Glen Garry, Loch Arkaig &amp; Glen Maillie, and </w:t>
      </w:r>
      <w:proofErr w:type="spellStart"/>
      <w:r>
        <w:t>Achnashellach</w:t>
      </w:r>
      <w:proofErr w:type="spellEnd"/>
      <w:r>
        <w:t xml:space="preserve">. These are all sites where removal of non-native trees has taken place which may explain some of the increase. The biggest decreases in species richness have occurred in </w:t>
      </w:r>
      <w:proofErr w:type="spellStart"/>
      <w:r>
        <w:t>Ballochbuie</w:t>
      </w:r>
      <w:proofErr w:type="spellEnd"/>
      <w:r>
        <w:t xml:space="preserve">, Glenmore, </w:t>
      </w:r>
      <w:proofErr w:type="spellStart"/>
      <w:r>
        <w:t>Guisachan</w:t>
      </w:r>
      <w:proofErr w:type="spellEnd"/>
      <w:r>
        <w:t xml:space="preserve"> &amp; </w:t>
      </w:r>
      <w:proofErr w:type="spellStart"/>
      <w:r>
        <w:t>Cougie</w:t>
      </w:r>
      <w:proofErr w:type="spellEnd"/>
      <w:r>
        <w:t xml:space="preserve"> and Glen </w:t>
      </w:r>
      <w:commentRangeStart w:id="38"/>
      <w:r>
        <w:t>Orchy</w:t>
      </w:r>
      <w:commentRangeEnd w:id="38"/>
      <w:r w:rsidR="00121A66">
        <w:rPr>
          <w:rStyle w:val="CommentReference"/>
        </w:rPr>
        <w:commentReference w:id="38"/>
      </w:r>
      <w:r>
        <w:t>.</w:t>
      </w:r>
    </w:p>
    <w:p w14:paraId="1FAB7945" w14:textId="77777777" w:rsidR="00F72067" w:rsidRPr="00D73A60" w:rsidRDefault="00F72067" w:rsidP="00C077C0">
      <w:pPr>
        <w:rPr>
          <w:b/>
          <w:bCs/>
        </w:rPr>
      </w:pPr>
      <w:r>
        <w:t>In terms of the frequency of species recorded, the two most frequent have not changed since 1971, being heather (</w:t>
      </w:r>
      <w:r w:rsidRPr="003A72CD">
        <w:rPr>
          <w:i/>
          <w:iCs/>
        </w:rPr>
        <w:t>Calluna vulgaris</w:t>
      </w:r>
      <w:r>
        <w:rPr>
          <w:i/>
          <w:iCs/>
        </w:rPr>
        <w:t>)</w:t>
      </w:r>
      <w:r>
        <w:t xml:space="preserve"> and bilberry/blaeberry (</w:t>
      </w:r>
      <w:r w:rsidRPr="003A72CD">
        <w:rPr>
          <w:i/>
          <w:iCs/>
        </w:rPr>
        <w:t>Vaccinium myrtillus</w:t>
      </w:r>
      <w:r>
        <w:rPr>
          <w:i/>
          <w:iCs/>
        </w:rPr>
        <w:t xml:space="preserve">). </w:t>
      </w:r>
      <w:r w:rsidRPr="003A72CD">
        <w:t>Purple moor grass</w:t>
      </w:r>
      <w:r>
        <w:rPr>
          <w:i/>
          <w:iCs/>
        </w:rPr>
        <w:t xml:space="preserve"> (Molinia caerulea) </w:t>
      </w:r>
      <w:r w:rsidRPr="003A72CD">
        <w:t>ha</w:t>
      </w:r>
      <w:r>
        <w:t>s</w:t>
      </w:r>
      <w:r w:rsidRPr="003A72CD">
        <w:t xml:space="preserve"> increased slightly while </w:t>
      </w:r>
      <w:r>
        <w:t>tormentil (</w:t>
      </w:r>
      <w:r w:rsidRPr="003A72CD">
        <w:rPr>
          <w:i/>
          <w:iCs/>
        </w:rPr>
        <w:t xml:space="preserve">Potentilla </w:t>
      </w:r>
      <w:proofErr w:type="spellStart"/>
      <w:r w:rsidRPr="003A72CD">
        <w:rPr>
          <w:i/>
          <w:iCs/>
        </w:rPr>
        <w:t>erecta</w:t>
      </w:r>
      <w:proofErr w:type="spellEnd"/>
      <w:r>
        <w:rPr>
          <w:i/>
          <w:iCs/>
        </w:rPr>
        <w:t>)</w:t>
      </w:r>
      <w:r>
        <w:t xml:space="preserve"> </w:t>
      </w:r>
      <w:r w:rsidRPr="003A72CD">
        <w:t>has decreased</w:t>
      </w:r>
      <w:r>
        <w:rPr>
          <w:i/>
          <w:iCs/>
        </w:rPr>
        <w:t xml:space="preserve">. </w:t>
      </w:r>
      <w:r w:rsidRPr="00F75527">
        <w:t>Wavy hair</w:t>
      </w:r>
      <w:r>
        <w:t>-</w:t>
      </w:r>
      <w:r w:rsidRPr="00F75527">
        <w:t>grass</w:t>
      </w:r>
      <w:r>
        <w:rPr>
          <w:i/>
          <w:iCs/>
        </w:rPr>
        <w:t xml:space="preserve"> (</w:t>
      </w:r>
      <w:proofErr w:type="spellStart"/>
      <w:r w:rsidRPr="003A72CD">
        <w:rPr>
          <w:i/>
          <w:iCs/>
        </w:rPr>
        <w:t>Deschampsia</w:t>
      </w:r>
      <w:proofErr w:type="spellEnd"/>
      <w:r w:rsidRPr="003A72CD">
        <w:rPr>
          <w:i/>
          <w:iCs/>
        </w:rPr>
        <w:t xml:space="preserve"> </w:t>
      </w:r>
      <w:proofErr w:type="spellStart"/>
      <w:r w:rsidRPr="003A72CD">
        <w:rPr>
          <w:i/>
          <w:iCs/>
        </w:rPr>
        <w:t>flexuosa</w:t>
      </w:r>
      <w:proofErr w:type="spellEnd"/>
      <w:r>
        <w:rPr>
          <w:i/>
          <w:iCs/>
        </w:rPr>
        <w:t xml:space="preserve">) </w:t>
      </w:r>
      <w:r w:rsidRPr="003A72CD">
        <w:t>remains the fourth most recorded species</w:t>
      </w:r>
      <w:r>
        <w:rPr>
          <w:i/>
          <w:iCs/>
        </w:rPr>
        <w:t xml:space="preserve">. </w:t>
      </w:r>
      <w:r w:rsidRPr="003A72CD">
        <w:t>Overall</w:t>
      </w:r>
      <w:r>
        <w:rPr>
          <w:i/>
          <w:iCs/>
        </w:rPr>
        <w:t xml:space="preserve">, </w:t>
      </w:r>
      <w:r w:rsidRPr="003A72CD">
        <w:t>the</w:t>
      </w:r>
      <w:r w:rsidRPr="005B002C">
        <w:t xml:space="preserve"> frequency of broadleaved grasses</w:t>
      </w:r>
      <w:r>
        <w:t>,</w:t>
      </w:r>
      <w:r w:rsidRPr="005B002C">
        <w:t xml:space="preserve"> ferns</w:t>
      </w:r>
      <w:r>
        <w:t xml:space="preserve">, </w:t>
      </w:r>
      <w:r w:rsidRPr="005B002C">
        <w:t>sub-shrubs</w:t>
      </w:r>
      <w:r>
        <w:t xml:space="preserve">, </w:t>
      </w:r>
      <w:r w:rsidRPr="005B002C">
        <w:t xml:space="preserve">wetland herbs </w:t>
      </w:r>
      <w:r>
        <w:t>and</w:t>
      </w:r>
      <w:r w:rsidRPr="005B002C">
        <w:t xml:space="preserve"> tree-seedlings has increased. Decreases</w:t>
      </w:r>
      <w:r>
        <w:t xml:space="preserve"> in frequency were found for</w:t>
      </w:r>
      <w:r w:rsidRPr="005B002C">
        <w:t xml:space="preserve"> sub-shrubs (</w:t>
      </w:r>
      <w:r w:rsidRPr="003A72CD">
        <w:rPr>
          <w:i/>
          <w:iCs/>
        </w:rPr>
        <w:t>Erica</w:t>
      </w:r>
      <w:r>
        <w:t xml:space="preserve"> spp.</w:t>
      </w:r>
      <w:r w:rsidRPr="005B002C">
        <w:t xml:space="preserve">) </w:t>
      </w:r>
      <w:r>
        <w:t>and</w:t>
      </w:r>
      <w:r w:rsidRPr="005B002C">
        <w:t xml:space="preserve"> diminutive herbs.  </w:t>
      </w:r>
    </w:p>
    <w:p w14:paraId="10581726" w14:textId="77777777" w:rsidR="00F72067" w:rsidRDefault="00F72067" w:rsidP="00C077C0">
      <w:r>
        <w:t>In terms of overall change in the Top 15 species recorded in 1971 (Fig. 9), the most frequent species, heather (</w:t>
      </w:r>
      <w:r w:rsidRPr="006E15C6">
        <w:rPr>
          <w:i/>
          <w:iCs/>
        </w:rPr>
        <w:t>Calluna</w:t>
      </w:r>
      <w:r>
        <w:t xml:space="preserve"> </w:t>
      </w:r>
      <w:r w:rsidRPr="006E15C6">
        <w:rPr>
          <w:i/>
          <w:iCs/>
        </w:rPr>
        <w:t>vulgaris</w:t>
      </w:r>
      <w:r>
        <w:rPr>
          <w:i/>
          <w:iCs/>
        </w:rPr>
        <w:t>)</w:t>
      </w:r>
      <w:r>
        <w:t xml:space="preserve"> has not changed significantly. Bilberry/blaeberry (</w:t>
      </w:r>
      <w:r w:rsidRPr="006E15C6">
        <w:rPr>
          <w:i/>
          <w:iCs/>
        </w:rPr>
        <w:t>Vaccinium myrtillus</w:t>
      </w:r>
      <w:r>
        <w:rPr>
          <w:i/>
          <w:iCs/>
        </w:rPr>
        <w:t>)</w:t>
      </w:r>
      <w:r>
        <w:t xml:space="preserve"> has increased slightly. Of the top 15, cowberry (</w:t>
      </w:r>
      <w:r w:rsidRPr="006E15C6">
        <w:rPr>
          <w:i/>
          <w:iCs/>
        </w:rPr>
        <w:t xml:space="preserve">Vaccinium </w:t>
      </w:r>
      <w:proofErr w:type="spellStart"/>
      <w:r w:rsidRPr="006E15C6">
        <w:rPr>
          <w:i/>
          <w:iCs/>
        </w:rPr>
        <w:t>vitis</w:t>
      </w:r>
      <w:proofErr w:type="spellEnd"/>
      <w:r w:rsidRPr="006E15C6">
        <w:rPr>
          <w:i/>
          <w:iCs/>
        </w:rPr>
        <w:t>-idea</w:t>
      </w:r>
      <w:r>
        <w:rPr>
          <w:i/>
          <w:iCs/>
        </w:rPr>
        <w:t>)</w:t>
      </w:r>
      <w:r>
        <w:t xml:space="preserve"> and dog bent (</w:t>
      </w:r>
      <w:r w:rsidRPr="006E15C6">
        <w:rPr>
          <w:i/>
          <w:iCs/>
        </w:rPr>
        <w:t>Agrostis</w:t>
      </w:r>
      <w:r>
        <w:t xml:space="preserve"> </w:t>
      </w:r>
      <w:r w:rsidRPr="006E15C6">
        <w:rPr>
          <w:i/>
          <w:iCs/>
        </w:rPr>
        <w:t>canina</w:t>
      </w:r>
      <w:r>
        <w:rPr>
          <w:i/>
          <w:iCs/>
        </w:rPr>
        <w:t>)</w:t>
      </w:r>
      <w:r>
        <w:t xml:space="preserve"> have declined the most markedly. Rowan (</w:t>
      </w:r>
      <w:r w:rsidRPr="006E15C6">
        <w:rPr>
          <w:i/>
          <w:iCs/>
        </w:rPr>
        <w:t>Sorbus a</w:t>
      </w:r>
      <w:r>
        <w:rPr>
          <w:i/>
          <w:iCs/>
        </w:rPr>
        <w:t>u</w:t>
      </w:r>
      <w:r w:rsidRPr="006E15C6">
        <w:rPr>
          <w:i/>
          <w:iCs/>
        </w:rPr>
        <w:t>cuparia</w:t>
      </w:r>
      <w:r>
        <w:rPr>
          <w:i/>
          <w:iCs/>
        </w:rPr>
        <w:t>)</w:t>
      </w:r>
      <w:r>
        <w:t xml:space="preserve"> recorded as saplings has increased whereas those recorded as shrubs have declined, </w:t>
      </w:r>
      <w:commentRangeStart w:id="39"/>
      <w:r>
        <w:t>potentially indicating increased initial regeneration, with a failure to thrive</w:t>
      </w:r>
      <w:commentRangeEnd w:id="39"/>
      <w:r w:rsidR="00121A66">
        <w:rPr>
          <w:rStyle w:val="CommentReference"/>
        </w:rPr>
        <w:commentReference w:id="39"/>
      </w:r>
      <w:r>
        <w:t xml:space="preserve">. </w:t>
      </w:r>
    </w:p>
    <w:p w14:paraId="1E7CC06F" w14:textId="77777777" w:rsidR="00F72067" w:rsidRDefault="00F72067" w:rsidP="00C077C0">
      <w:pPr>
        <w:jc w:val="center"/>
      </w:pPr>
      <w:r>
        <w:rPr>
          <w:noProof/>
        </w:rPr>
        <w:drawing>
          <wp:inline distT="0" distB="0" distL="0" distR="0" wp14:anchorId="2B6527CC" wp14:editId="62B47C1F">
            <wp:extent cx="4506163" cy="3174365"/>
            <wp:effectExtent l="0" t="0" r="8890" b="6985"/>
            <wp:docPr id="3" name="Chart 3">
              <a:extLst xmlns:a="http://schemas.openxmlformats.org/drawingml/2006/main">
                <a:ext uri="{FF2B5EF4-FFF2-40B4-BE49-F238E27FC236}">
                  <a16:creationId xmlns:a16="http://schemas.microsoft.com/office/drawing/2014/main" id="{3DEB3F57-C303-A740-D8E8-369C04046E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2EF1B92" w14:textId="77777777" w:rsidR="00F72067" w:rsidRPr="00386555" w:rsidRDefault="00F72067" w:rsidP="00C077C0">
      <w:pPr>
        <w:jc w:val="center"/>
        <w:rPr>
          <w:b/>
          <w:bCs/>
        </w:rPr>
      </w:pPr>
      <w:bookmarkStart w:id="40" w:name="_Hlk193963195"/>
      <w:r w:rsidRPr="00386555">
        <w:rPr>
          <w:b/>
          <w:bCs/>
        </w:rPr>
        <w:t xml:space="preserve">Figure </w:t>
      </w:r>
      <w:r>
        <w:rPr>
          <w:b/>
          <w:bCs/>
        </w:rPr>
        <w:t>9</w:t>
      </w:r>
      <w:r w:rsidRPr="00386555">
        <w:rPr>
          <w:b/>
          <w:bCs/>
        </w:rPr>
        <w:t>. Change in the top 15 species recorded in 1971</w:t>
      </w:r>
      <w:r>
        <w:rPr>
          <w:b/>
          <w:bCs/>
        </w:rPr>
        <w:t xml:space="preserve"> to 2022</w:t>
      </w:r>
    </w:p>
    <w:bookmarkEnd w:id="40"/>
    <w:p w14:paraId="1A018130" w14:textId="77777777" w:rsidR="00F72067" w:rsidRDefault="00F72067" w:rsidP="00C077C0"/>
    <w:p w14:paraId="46C5DD69" w14:textId="77777777" w:rsidR="00F72067" w:rsidRDefault="00F72067" w:rsidP="00C077C0"/>
    <w:p w14:paraId="019F6494" w14:textId="77777777" w:rsidR="00717F49" w:rsidRDefault="00717F49" w:rsidP="00C077C0"/>
    <w:p w14:paraId="2FCBF038" w14:textId="77777777" w:rsidR="00F72067" w:rsidRDefault="00F72067" w:rsidP="00C077C0">
      <w:pPr>
        <w:rPr>
          <w:b/>
          <w:bCs/>
        </w:rPr>
      </w:pPr>
      <w:r>
        <w:rPr>
          <w:b/>
          <w:bCs/>
        </w:rPr>
        <w:lastRenderedPageBreak/>
        <w:t>3.6</w:t>
      </w:r>
      <w:r w:rsidRPr="001D3CD0">
        <w:rPr>
          <w:b/>
          <w:bCs/>
        </w:rPr>
        <w:t xml:space="preserve"> </w:t>
      </w:r>
      <w:r>
        <w:rPr>
          <w:b/>
          <w:bCs/>
        </w:rPr>
        <w:t xml:space="preserve"> Changes in s</w:t>
      </w:r>
      <w:r w:rsidRPr="005B002C">
        <w:rPr>
          <w:b/>
          <w:bCs/>
        </w:rPr>
        <w:t>oil</w:t>
      </w:r>
      <w:r>
        <w:rPr>
          <w:b/>
          <w:bCs/>
        </w:rPr>
        <w:t xml:space="preserve"> condition</w:t>
      </w:r>
      <w:r w:rsidRPr="005B002C">
        <w:rPr>
          <w:b/>
          <w:bCs/>
        </w:rPr>
        <w:t xml:space="preserve"> </w:t>
      </w:r>
    </w:p>
    <w:p w14:paraId="3DCB5D79" w14:textId="1B5C54FB" w:rsidR="00F72067" w:rsidRDefault="00F72067" w:rsidP="00C077C0">
      <w:r w:rsidRPr="000B27DF">
        <w:t xml:space="preserve">Change in soil pH </w:t>
      </w:r>
      <w:r>
        <w:t>was</w:t>
      </w:r>
      <w:r w:rsidRPr="000B27DF">
        <w:t xml:space="preserve"> compared between 1971 and 2022</w:t>
      </w:r>
      <w:r>
        <w:t xml:space="preserve"> (Fig. 10)</w:t>
      </w:r>
      <w:r w:rsidRPr="000B27DF">
        <w:t>. Overall, there is a signal of a slight rise in</w:t>
      </w:r>
      <w:r>
        <w:t xml:space="preserve"> the mean fresh soil</w:t>
      </w:r>
      <w:r w:rsidRPr="000B27DF">
        <w:t xml:space="preserve"> pH</w:t>
      </w:r>
      <w:r>
        <w:t xml:space="preserve"> value (0.15)</w:t>
      </w:r>
      <w:r w:rsidRPr="000B27DF">
        <w:t>, which matches</w:t>
      </w:r>
      <w:r>
        <w:t xml:space="preserve"> an</w:t>
      </w:r>
      <w:r w:rsidRPr="000B27DF">
        <w:t xml:space="preserve"> </w:t>
      </w:r>
      <w:r>
        <w:t>increase</w:t>
      </w:r>
      <w:r w:rsidRPr="000B27DF">
        <w:t xml:space="preserve"> detected in the GB Bunce Woodland Survey </w:t>
      </w:r>
      <w:r>
        <w:t xml:space="preserve">(1971-2022) </w:t>
      </w:r>
      <w:r>
        <w:rPr>
          <w:noProof/>
        </w:rPr>
        <w:t>(Smart et al., 2024; Kirby et al., 2005)</w:t>
      </w:r>
      <w:r>
        <w:t xml:space="preserve"> </w:t>
      </w:r>
      <w:r w:rsidRPr="000B27DF">
        <w:t xml:space="preserve">and the GB Countryside Survey </w:t>
      </w:r>
      <w:r>
        <w:t>(1978-)</w:t>
      </w:r>
      <w:r w:rsidRPr="00B70745">
        <w:t xml:space="preserve"> </w:t>
      </w:r>
      <w:r>
        <w:t xml:space="preserve">and at least partly attributable to recovery from historically high atmospheric sulphur deposition in the past </w:t>
      </w:r>
      <w:r>
        <w:rPr>
          <w:noProof/>
        </w:rPr>
        <w:t>(Reynolds et al., 2013)</w:t>
      </w:r>
      <w:r>
        <w:t>. This driver-response relationship has also been identified in other national surveys</w:t>
      </w:r>
      <w:r w:rsidR="00717F49">
        <w:t>, for example,</w:t>
      </w:r>
      <w:r>
        <w:t xml:space="preserve"> </w:t>
      </w:r>
      <w:r>
        <w:rPr>
          <w:noProof/>
        </w:rPr>
        <w:t>Kirk et al. (2010); Seaton et al. (2023)</w:t>
      </w:r>
      <w:r>
        <w:t xml:space="preserve">. The only geographical groupings showing a fall in pH were the Wester Ross and Speyside Groups. The Wester Ross Group is located in one of the wettest </w:t>
      </w:r>
      <w:r w:rsidR="00717F49">
        <w:t>locations but</w:t>
      </w:r>
      <w:r>
        <w:t xml:space="preserve"> had the smallest increase in mean annual rainfall between 1971 and 2022 (from 2095mm to 2158mm </w:t>
      </w:r>
      <w:r>
        <w:rPr>
          <w:noProof/>
        </w:rPr>
        <w:t>(Met Office, 2024)</w:t>
      </w:r>
      <w:r>
        <w:t xml:space="preserve">). The Speyside Group is located in one of the comparatively drier zones (mean annual rainfall 960mm for 2022 </w:t>
      </w:r>
      <w:r>
        <w:rPr>
          <w:noProof/>
        </w:rPr>
        <w:t>(Met Office, 2024)</w:t>
      </w:r>
      <w:r>
        <w:t xml:space="preserve">). </w:t>
      </w:r>
      <w:commentRangeStart w:id="41"/>
      <w:r>
        <w:t xml:space="preserve">At an individual site level, increased acidity was detected most markedly in the soil at Glenmore, Glen Moriston, </w:t>
      </w:r>
      <w:proofErr w:type="spellStart"/>
      <w:r>
        <w:t>Shieldaig</w:t>
      </w:r>
      <w:proofErr w:type="spellEnd"/>
      <w:r>
        <w:t xml:space="preserve"> and Glen Orchy</w:t>
      </w:r>
      <w:commentRangeEnd w:id="41"/>
      <w:r w:rsidR="00750C8E">
        <w:rPr>
          <w:rStyle w:val="CommentReference"/>
        </w:rPr>
        <w:commentReference w:id="41"/>
      </w:r>
      <w:r>
        <w:t>.</w:t>
      </w:r>
    </w:p>
    <w:p w14:paraId="3DCDCF96" w14:textId="77777777" w:rsidR="00F72067" w:rsidRPr="00E950C0" w:rsidRDefault="00F72067" w:rsidP="00C077C0">
      <w:commentRangeStart w:id="42"/>
      <w:r w:rsidRPr="004016DD">
        <w:t>Overall, loss on ignition in soils from the 2018 to 2022 survey have a mean value of 58.1% (with a wide range - minimum 1%, maximum 99%).</w:t>
      </w:r>
      <w:r>
        <w:t xml:space="preserve"> Loss on ignition analyses were not undertaken in 1971, and the soil samples are no longer available for analysis, making comparison over that time-span impossible.</w:t>
      </w:r>
      <w:commentRangeEnd w:id="42"/>
      <w:r w:rsidR="00750C8E">
        <w:rPr>
          <w:rStyle w:val="CommentReference"/>
        </w:rPr>
        <w:commentReference w:id="42"/>
      </w:r>
    </w:p>
    <w:p w14:paraId="1BA18529" w14:textId="77777777" w:rsidR="00F72067" w:rsidRDefault="00F72067" w:rsidP="00C077C0">
      <w:r>
        <w:rPr>
          <w:noProof/>
        </w:rPr>
        <w:drawing>
          <wp:inline distT="0" distB="0" distL="0" distR="0" wp14:anchorId="410AA840" wp14:editId="50E563CF">
            <wp:extent cx="6259285" cy="3556000"/>
            <wp:effectExtent l="0" t="0" r="8255" b="6350"/>
            <wp:docPr id="59997897" name="Chart 1">
              <a:extLst xmlns:a="http://schemas.openxmlformats.org/drawingml/2006/main">
                <a:ext uri="{FF2B5EF4-FFF2-40B4-BE49-F238E27FC236}">
                  <a16:creationId xmlns:a16="http://schemas.microsoft.com/office/drawing/2014/main" id="{61A535C9-A141-45E8-807B-242617BA3A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E7E3D4E" w14:textId="77777777" w:rsidR="00F72067" w:rsidRPr="001D3CD0" w:rsidRDefault="00F72067" w:rsidP="00C077C0">
      <w:pPr>
        <w:jc w:val="center"/>
        <w:rPr>
          <w:b/>
          <w:bCs/>
        </w:rPr>
      </w:pPr>
      <w:r w:rsidRPr="001D3CD0">
        <w:rPr>
          <w:b/>
          <w:bCs/>
        </w:rPr>
        <w:t>Figure 1</w:t>
      </w:r>
      <w:r>
        <w:rPr>
          <w:b/>
          <w:bCs/>
        </w:rPr>
        <w:t>0.</w:t>
      </w:r>
      <w:r w:rsidRPr="001D3CD0">
        <w:rPr>
          <w:b/>
          <w:bCs/>
        </w:rPr>
        <w:t xml:space="preserve"> Change in soil pH across geographical groups, displayed with mean annual rainfall change 1971-2022</w:t>
      </w:r>
    </w:p>
    <w:p w14:paraId="6C0290C8" w14:textId="77777777" w:rsidR="00F72067" w:rsidRDefault="00F72067" w:rsidP="00C077C0"/>
    <w:p w14:paraId="39793261" w14:textId="77777777" w:rsidR="00F72067" w:rsidRDefault="00F72067" w:rsidP="00C077C0"/>
    <w:p w14:paraId="798E9877" w14:textId="77777777" w:rsidR="00F72067" w:rsidRPr="00BE70FF" w:rsidRDefault="00F72067" w:rsidP="00C077C0">
      <w:pPr>
        <w:rPr>
          <w:b/>
          <w:bCs/>
        </w:rPr>
      </w:pPr>
      <w:r>
        <w:rPr>
          <w:b/>
          <w:bCs/>
        </w:rPr>
        <w:t xml:space="preserve">3.7 </w:t>
      </w:r>
      <w:bookmarkStart w:id="43" w:name="_Hlk209601782"/>
      <w:r>
        <w:rPr>
          <w:b/>
          <w:bCs/>
        </w:rPr>
        <w:t xml:space="preserve">Additional threats: storm damage and </w:t>
      </w:r>
      <w:r w:rsidRPr="00BE70FF">
        <w:rPr>
          <w:b/>
          <w:bCs/>
        </w:rPr>
        <w:t xml:space="preserve">disease </w:t>
      </w:r>
      <w:bookmarkEnd w:id="43"/>
    </w:p>
    <w:p w14:paraId="6E7BF647" w14:textId="77777777" w:rsidR="00F72067" w:rsidRDefault="00F72067" w:rsidP="00C077C0">
      <w:r>
        <w:t xml:space="preserve">Winter storms were frequent during the period of the survey </w:t>
      </w:r>
      <w:r>
        <w:rPr>
          <w:noProof/>
        </w:rPr>
        <w:t>(Met Office, 2025a)</w:t>
      </w:r>
      <w:r>
        <w:t>. Evidence of localised storm damage was apparent at two of the surveyed sites, Glen Moriston and Glen Garry, where trees had been blown down in the high winds.</w:t>
      </w:r>
    </w:p>
    <w:p w14:paraId="24A3F51C" w14:textId="77777777" w:rsidR="00F72067" w:rsidRDefault="00F72067" w:rsidP="00C077C0"/>
    <w:p w14:paraId="40FEFBA1" w14:textId="77777777" w:rsidR="00F72067" w:rsidRDefault="00F72067" w:rsidP="00C077C0">
      <w:pPr>
        <w:jc w:val="center"/>
      </w:pPr>
      <w:r>
        <w:rPr>
          <w:noProof/>
        </w:rPr>
        <w:lastRenderedPageBreak/>
        <w:drawing>
          <wp:inline distT="0" distB="0" distL="0" distR="0" wp14:anchorId="0B32DDC2" wp14:editId="397221FC">
            <wp:extent cx="2432473" cy="1824355"/>
            <wp:effectExtent l="0" t="953" r="5398" b="5397"/>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440570" cy="1830428"/>
                    </a:xfrm>
                    <a:prstGeom prst="rect">
                      <a:avLst/>
                    </a:prstGeom>
                    <a:noFill/>
                    <a:ln>
                      <a:noFill/>
                    </a:ln>
                  </pic:spPr>
                </pic:pic>
              </a:graphicData>
            </a:graphic>
          </wp:inline>
        </w:drawing>
      </w:r>
    </w:p>
    <w:p w14:paraId="11081BC5" w14:textId="77777777" w:rsidR="00F72067" w:rsidRPr="00386555" w:rsidRDefault="00F72067" w:rsidP="00C077C0">
      <w:pPr>
        <w:jc w:val="center"/>
        <w:rPr>
          <w:b/>
          <w:bCs/>
        </w:rPr>
      </w:pPr>
      <w:bookmarkStart w:id="44" w:name="_Hlk193963238"/>
      <w:r w:rsidRPr="00386555">
        <w:rPr>
          <w:b/>
          <w:bCs/>
        </w:rPr>
        <w:t xml:space="preserve">Figure </w:t>
      </w:r>
      <w:r>
        <w:rPr>
          <w:b/>
          <w:bCs/>
        </w:rPr>
        <w:t>11</w:t>
      </w:r>
      <w:r w:rsidRPr="00386555">
        <w:rPr>
          <w:b/>
          <w:bCs/>
        </w:rPr>
        <w:t xml:space="preserve">. Evidence of </w:t>
      </w:r>
      <w:proofErr w:type="spellStart"/>
      <w:r w:rsidRPr="00386555">
        <w:rPr>
          <w:b/>
          <w:bCs/>
          <w:i/>
          <w:iCs/>
        </w:rPr>
        <w:t>Dothistroma</w:t>
      </w:r>
      <w:proofErr w:type="spellEnd"/>
      <w:r w:rsidRPr="00386555">
        <w:rPr>
          <w:b/>
          <w:bCs/>
        </w:rPr>
        <w:t xml:space="preserve"> needle blight (DNB) at </w:t>
      </w:r>
      <w:proofErr w:type="spellStart"/>
      <w:r w:rsidRPr="00386555">
        <w:rPr>
          <w:b/>
          <w:bCs/>
        </w:rPr>
        <w:t>Shieldaig</w:t>
      </w:r>
      <w:proofErr w:type="spellEnd"/>
    </w:p>
    <w:bookmarkEnd w:id="44"/>
    <w:p w14:paraId="7F1E0498" w14:textId="77777777" w:rsidR="00F72067" w:rsidRPr="00717F49" w:rsidRDefault="00F72067" w:rsidP="00C077C0"/>
    <w:p w14:paraId="3DA3259E" w14:textId="77777777" w:rsidR="00F72067" w:rsidRDefault="00F72067" w:rsidP="00C077C0">
      <w:pPr>
        <w:rPr>
          <w:szCs w:val="20"/>
        </w:rPr>
      </w:pPr>
      <w:r w:rsidRPr="00717F49">
        <w:rPr>
          <w:szCs w:val="20"/>
        </w:rPr>
        <w:t xml:space="preserve">In recent years, increasing attention has been focused on plant pathogens. In terms of the pinewoods, </w:t>
      </w:r>
      <w:proofErr w:type="spellStart"/>
      <w:r w:rsidRPr="00717F49">
        <w:rPr>
          <w:i/>
          <w:iCs/>
          <w:szCs w:val="20"/>
        </w:rPr>
        <w:t>Dothistroma</w:t>
      </w:r>
      <w:proofErr w:type="spellEnd"/>
      <w:r w:rsidRPr="00717F49">
        <w:rPr>
          <w:szCs w:val="20"/>
        </w:rPr>
        <w:t xml:space="preserve"> Needle Blight (DNB) was largely considered a problem in commercial plantations in the southern hemisphere until the mid -1990s </w:t>
      </w:r>
      <w:r w:rsidRPr="00717F49">
        <w:rPr>
          <w:noProof/>
          <w:szCs w:val="20"/>
        </w:rPr>
        <w:t>(Bulman et al., 2013)</w:t>
      </w:r>
      <w:r w:rsidRPr="00717F49">
        <w:rPr>
          <w:szCs w:val="20"/>
        </w:rPr>
        <w:t xml:space="preserve">. Affecting </w:t>
      </w:r>
      <w:r w:rsidRPr="00717F49">
        <w:rPr>
          <w:i/>
          <w:iCs/>
          <w:szCs w:val="20"/>
        </w:rPr>
        <w:t>Pinus</w:t>
      </w:r>
      <w:r w:rsidRPr="00717F49">
        <w:rPr>
          <w:szCs w:val="20"/>
        </w:rPr>
        <w:t xml:space="preserve"> species, it can l</w:t>
      </w:r>
      <w:r w:rsidRPr="00717F49">
        <w:rPr>
          <w:color w:val="1F1F1F"/>
          <w:szCs w:val="20"/>
        </w:rPr>
        <w:t>ead to the death of foliage, the reduction of </w:t>
      </w:r>
      <w:hyperlink r:id="rId25" w:tooltip="Learn more about tree growth from ScienceDirect's AI-generated Topic Pages" w:history="1">
        <w:r w:rsidRPr="00717F49">
          <w:rPr>
            <w:rStyle w:val="Hyperlink"/>
            <w:rFonts w:eastAsiaTheme="majorEastAsia"/>
            <w:color w:val="1F1F1F"/>
            <w:szCs w:val="20"/>
          </w:rPr>
          <w:t>tree growth</w:t>
        </w:r>
      </w:hyperlink>
      <w:r w:rsidRPr="00717F49">
        <w:rPr>
          <w:color w:val="1F1F1F"/>
          <w:szCs w:val="20"/>
        </w:rPr>
        <w:t xml:space="preserve"> and sometimes widespread tree death </w:t>
      </w:r>
      <w:r w:rsidRPr="00717F49">
        <w:rPr>
          <w:noProof/>
          <w:color w:val="1F1F1F"/>
          <w:szCs w:val="20"/>
        </w:rPr>
        <w:t>(Marzano et al., 2017)</w:t>
      </w:r>
      <w:r w:rsidRPr="00717F49">
        <w:rPr>
          <w:color w:val="1F1F1F"/>
          <w:szCs w:val="20"/>
        </w:rPr>
        <w:t>. In the Bunce survey, e</w:t>
      </w:r>
      <w:r w:rsidRPr="00717F49">
        <w:rPr>
          <w:szCs w:val="20"/>
        </w:rPr>
        <w:t xml:space="preserve">vidence of tree disease was recorded from around a third of sites (10), including </w:t>
      </w:r>
      <w:r w:rsidRPr="00717F49">
        <w:rPr>
          <w:color w:val="000000"/>
          <w:szCs w:val="20"/>
          <w:lang w:eastAsia="en-GB"/>
        </w:rPr>
        <w:t xml:space="preserve">Abernethy, Glenmore, Glen </w:t>
      </w:r>
      <w:proofErr w:type="spellStart"/>
      <w:r w:rsidRPr="00717F49">
        <w:rPr>
          <w:color w:val="000000"/>
          <w:szCs w:val="20"/>
          <w:lang w:eastAsia="en-GB"/>
        </w:rPr>
        <w:t>Feshie</w:t>
      </w:r>
      <w:proofErr w:type="spellEnd"/>
      <w:r w:rsidRPr="00717F49">
        <w:rPr>
          <w:color w:val="000000"/>
          <w:szCs w:val="20"/>
          <w:lang w:eastAsia="en-GB"/>
        </w:rPr>
        <w:t xml:space="preserve">, </w:t>
      </w:r>
      <w:proofErr w:type="spellStart"/>
      <w:r w:rsidRPr="00717F49">
        <w:rPr>
          <w:color w:val="000000"/>
          <w:szCs w:val="20"/>
          <w:lang w:eastAsia="en-GB"/>
        </w:rPr>
        <w:t>Ballochbuie</w:t>
      </w:r>
      <w:proofErr w:type="spellEnd"/>
      <w:r w:rsidRPr="00717F49">
        <w:rPr>
          <w:color w:val="000000"/>
          <w:szCs w:val="20"/>
          <w:lang w:eastAsia="en-GB"/>
        </w:rPr>
        <w:t xml:space="preserve">, </w:t>
      </w:r>
      <w:proofErr w:type="spellStart"/>
      <w:r w:rsidRPr="00717F49">
        <w:rPr>
          <w:color w:val="000000"/>
          <w:szCs w:val="20"/>
          <w:lang w:eastAsia="en-GB"/>
        </w:rPr>
        <w:t>Guisachan</w:t>
      </w:r>
      <w:proofErr w:type="spellEnd"/>
      <w:r w:rsidRPr="00717F49">
        <w:rPr>
          <w:color w:val="000000"/>
          <w:szCs w:val="20"/>
          <w:lang w:eastAsia="en-GB"/>
        </w:rPr>
        <w:t xml:space="preserve"> &amp; </w:t>
      </w:r>
      <w:proofErr w:type="spellStart"/>
      <w:r w:rsidRPr="00717F49">
        <w:rPr>
          <w:color w:val="000000"/>
          <w:szCs w:val="20"/>
          <w:lang w:eastAsia="en-GB"/>
        </w:rPr>
        <w:t>Cougie</w:t>
      </w:r>
      <w:proofErr w:type="spellEnd"/>
      <w:r w:rsidRPr="00717F49">
        <w:rPr>
          <w:color w:val="000000"/>
          <w:szCs w:val="20"/>
          <w:lang w:eastAsia="en-GB"/>
        </w:rPr>
        <w:t xml:space="preserve">, </w:t>
      </w:r>
      <w:proofErr w:type="spellStart"/>
      <w:r w:rsidRPr="00717F49">
        <w:rPr>
          <w:color w:val="000000"/>
          <w:szCs w:val="20"/>
          <w:lang w:eastAsia="en-GB"/>
        </w:rPr>
        <w:t>Coulin</w:t>
      </w:r>
      <w:proofErr w:type="spellEnd"/>
      <w:r w:rsidRPr="00717F49">
        <w:rPr>
          <w:color w:val="000000"/>
          <w:szCs w:val="20"/>
          <w:lang w:eastAsia="en-GB"/>
        </w:rPr>
        <w:t xml:space="preserve">, </w:t>
      </w:r>
      <w:proofErr w:type="spellStart"/>
      <w:r w:rsidRPr="00717F49">
        <w:rPr>
          <w:color w:val="000000"/>
          <w:szCs w:val="20"/>
          <w:lang w:eastAsia="en-GB"/>
        </w:rPr>
        <w:t>Shieldaig</w:t>
      </w:r>
      <w:proofErr w:type="spellEnd"/>
      <w:r w:rsidRPr="00717F49">
        <w:rPr>
          <w:color w:val="000000"/>
          <w:szCs w:val="20"/>
          <w:lang w:eastAsia="en-GB"/>
        </w:rPr>
        <w:t xml:space="preserve"> (Fig. 12), Loch Maree, </w:t>
      </w:r>
      <w:r w:rsidRPr="00717F49">
        <w:rPr>
          <w:szCs w:val="20"/>
        </w:rPr>
        <w:t xml:space="preserve">Glen Orchy and </w:t>
      </w:r>
      <w:proofErr w:type="spellStart"/>
      <w:r w:rsidRPr="00717F49">
        <w:rPr>
          <w:szCs w:val="20"/>
        </w:rPr>
        <w:t>Tyndrum</w:t>
      </w:r>
      <w:proofErr w:type="spellEnd"/>
      <w:r w:rsidRPr="00717F49">
        <w:rPr>
          <w:szCs w:val="20"/>
        </w:rPr>
        <w:t>, which additionally threatens the overall health of the pinewood habitat.</w:t>
      </w:r>
    </w:p>
    <w:p w14:paraId="59DF762C" w14:textId="77777777" w:rsidR="00717F49" w:rsidRPr="00717F49" w:rsidRDefault="00717F49" w:rsidP="00C077C0">
      <w:pPr>
        <w:rPr>
          <w:szCs w:val="20"/>
        </w:rPr>
      </w:pPr>
    </w:p>
    <w:p w14:paraId="36E6F58A" w14:textId="77777777" w:rsidR="00F72067" w:rsidRDefault="00F72067" w:rsidP="00C077C0">
      <w:pPr>
        <w:jc w:val="center"/>
      </w:pPr>
      <w:r>
        <w:rPr>
          <w:noProof/>
        </w:rPr>
        <w:drawing>
          <wp:inline distT="0" distB="0" distL="0" distR="0" wp14:anchorId="6A8E9776" wp14:editId="7B557EAD">
            <wp:extent cx="1838325" cy="2451100"/>
            <wp:effectExtent l="0" t="0" r="9525"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38325" cy="2451100"/>
                    </a:xfrm>
                    <a:prstGeom prst="rect">
                      <a:avLst/>
                    </a:prstGeom>
                    <a:noFill/>
                    <a:ln>
                      <a:noFill/>
                    </a:ln>
                  </pic:spPr>
                </pic:pic>
              </a:graphicData>
            </a:graphic>
          </wp:inline>
        </w:drawing>
      </w:r>
    </w:p>
    <w:p w14:paraId="5566927D" w14:textId="77777777" w:rsidR="00F72067" w:rsidRDefault="00F72067" w:rsidP="00C077C0">
      <w:pPr>
        <w:jc w:val="center"/>
        <w:rPr>
          <w:b/>
          <w:bCs/>
          <w:sz w:val="18"/>
          <w:szCs w:val="22"/>
        </w:rPr>
      </w:pPr>
      <w:bookmarkStart w:id="45" w:name="_Hlk193963250"/>
      <w:r w:rsidRPr="00964829">
        <w:rPr>
          <w:b/>
          <w:bCs/>
          <w:sz w:val="18"/>
          <w:szCs w:val="22"/>
        </w:rPr>
        <w:t>Figure 1</w:t>
      </w:r>
      <w:r>
        <w:rPr>
          <w:b/>
          <w:bCs/>
          <w:sz w:val="18"/>
          <w:szCs w:val="22"/>
        </w:rPr>
        <w:t>2</w:t>
      </w:r>
      <w:r w:rsidRPr="00964829">
        <w:rPr>
          <w:b/>
          <w:bCs/>
          <w:sz w:val="18"/>
          <w:szCs w:val="22"/>
        </w:rPr>
        <w:t>. Tree disease</w:t>
      </w:r>
      <w:r>
        <w:rPr>
          <w:b/>
          <w:bCs/>
          <w:sz w:val="18"/>
          <w:szCs w:val="22"/>
        </w:rPr>
        <w:t xml:space="preserve"> affecting the </w:t>
      </w:r>
      <w:commentRangeStart w:id="46"/>
      <w:r>
        <w:rPr>
          <w:b/>
          <w:bCs/>
          <w:sz w:val="18"/>
          <w:szCs w:val="22"/>
        </w:rPr>
        <w:t>Scots pines</w:t>
      </w:r>
      <w:r w:rsidRPr="00964829">
        <w:rPr>
          <w:b/>
          <w:bCs/>
          <w:sz w:val="18"/>
          <w:szCs w:val="22"/>
        </w:rPr>
        <w:t xml:space="preserve"> </w:t>
      </w:r>
      <w:commentRangeEnd w:id="46"/>
      <w:r w:rsidR="00750C8E">
        <w:rPr>
          <w:rStyle w:val="CommentReference"/>
        </w:rPr>
        <w:commentReference w:id="46"/>
      </w:r>
      <w:r w:rsidRPr="00964829">
        <w:rPr>
          <w:b/>
          <w:bCs/>
          <w:sz w:val="18"/>
          <w:szCs w:val="22"/>
        </w:rPr>
        <w:t xml:space="preserve">at </w:t>
      </w:r>
      <w:proofErr w:type="spellStart"/>
      <w:r w:rsidRPr="00964829">
        <w:rPr>
          <w:b/>
          <w:bCs/>
          <w:sz w:val="18"/>
          <w:szCs w:val="22"/>
        </w:rPr>
        <w:t>Guisachan</w:t>
      </w:r>
      <w:proofErr w:type="spellEnd"/>
      <w:r w:rsidRPr="00964829">
        <w:rPr>
          <w:b/>
          <w:bCs/>
          <w:sz w:val="18"/>
          <w:szCs w:val="22"/>
        </w:rPr>
        <w:t xml:space="preserve"> &amp; </w:t>
      </w:r>
      <w:proofErr w:type="spellStart"/>
      <w:r w:rsidRPr="00964829">
        <w:rPr>
          <w:b/>
          <w:bCs/>
          <w:sz w:val="18"/>
          <w:szCs w:val="22"/>
        </w:rPr>
        <w:t>Cougie</w:t>
      </w:r>
      <w:proofErr w:type="spellEnd"/>
    </w:p>
    <w:bookmarkEnd w:id="45"/>
    <w:p w14:paraId="5B0E99B4" w14:textId="77777777" w:rsidR="00F72067" w:rsidRDefault="00F72067" w:rsidP="00C077C0">
      <w:pPr>
        <w:rPr>
          <w:b/>
          <w:bCs/>
        </w:rPr>
      </w:pPr>
    </w:p>
    <w:p w14:paraId="5A2B757E" w14:textId="77777777" w:rsidR="00F72067" w:rsidRDefault="00F72067" w:rsidP="00C077C0"/>
    <w:p w14:paraId="50473A37" w14:textId="77777777" w:rsidR="00F72067" w:rsidRDefault="00F72067" w:rsidP="00C077C0">
      <w:pPr>
        <w:rPr>
          <w:b/>
          <w:bCs/>
        </w:rPr>
      </w:pPr>
      <w:r>
        <w:rPr>
          <w:b/>
          <w:bCs/>
        </w:rPr>
        <w:t>3.8 Other notable changes recorded</w:t>
      </w:r>
    </w:p>
    <w:p w14:paraId="579128D8" w14:textId="77777777" w:rsidR="00F72067" w:rsidRPr="00BF5FE2" w:rsidRDefault="00F72067" w:rsidP="00C077C0">
      <w:r w:rsidRPr="009F622A">
        <w:t>From the presence of recorded descriptive attributes</w:t>
      </w:r>
      <w:r>
        <w:t xml:space="preserve">, a range of conclusions can be made as follows. </w:t>
      </w:r>
      <w:r w:rsidRPr="009F622A">
        <w:t>Signs of animals</w:t>
      </w:r>
      <w:r>
        <w:t xml:space="preserve">, including </w:t>
      </w:r>
      <w:r w:rsidRPr="009F622A">
        <w:t xml:space="preserve">deer </w:t>
      </w:r>
      <w:r>
        <w:t>and</w:t>
      </w:r>
      <w:r w:rsidRPr="009F622A">
        <w:t xml:space="preserve"> livestock</w:t>
      </w:r>
      <w:r>
        <w:t>, r</w:t>
      </w:r>
      <w:r w:rsidRPr="009F622A">
        <w:t>abbits</w:t>
      </w:r>
      <w:r>
        <w:t xml:space="preserve">, </w:t>
      </w:r>
      <w:r w:rsidRPr="009F622A">
        <w:t xml:space="preserve">red squirrels </w:t>
      </w:r>
      <w:r>
        <w:t>and</w:t>
      </w:r>
      <w:r w:rsidRPr="009F622A">
        <w:t xml:space="preserve"> bones</w:t>
      </w:r>
      <w:r>
        <w:t>,</w:t>
      </w:r>
      <w:r w:rsidRPr="009F622A">
        <w:t xml:space="preserve"> have declined generally </w:t>
      </w:r>
      <w:r>
        <w:t xml:space="preserve">since 1971. However, evidence of </w:t>
      </w:r>
      <w:r w:rsidRPr="009F622A">
        <w:t>deer remain</w:t>
      </w:r>
      <w:r>
        <w:t>s</w:t>
      </w:r>
      <w:r w:rsidRPr="009F622A">
        <w:t xml:space="preserve"> high in some areas</w:t>
      </w:r>
      <w:r>
        <w:t>, for example,</w:t>
      </w:r>
      <w:r w:rsidRPr="009F622A">
        <w:t xml:space="preserve"> Glengarry.</w:t>
      </w:r>
      <w:r>
        <w:t xml:space="preserve"> </w:t>
      </w:r>
      <w:r w:rsidRPr="00BF5FE2">
        <w:t xml:space="preserve">There are clear signs of fencing </w:t>
      </w:r>
      <w:r w:rsidRPr="00BF5FE2">
        <w:lastRenderedPageBreak/>
        <w:t xml:space="preserve">having taken place, being present </w:t>
      </w:r>
      <w:r>
        <w:t xml:space="preserve">within </w:t>
      </w:r>
      <w:r w:rsidRPr="00BF5FE2">
        <w:t xml:space="preserve">9 </w:t>
      </w:r>
      <w:r>
        <w:t>recorded</w:t>
      </w:r>
      <w:r w:rsidRPr="00BF5FE2">
        <w:t xml:space="preserve"> plots overall</w:t>
      </w:r>
      <w:r>
        <w:t xml:space="preserve"> and present in 19 sites.</w:t>
      </w:r>
      <w:r w:rsidRPr="00BF5FE2">
        <w:t xml:space="preserve"> An encouraging result is that rubbish was not recorded at a</w:t>
      </w:r>
      <w:r>
        <w:t>n</w:t>
      </w:r>
      <w:r w:rsidRPr="00BF5FE2">
        <w:t>y plot</w:t>
      </w:r>
      <w:r>
        <w:t>,</w:t>
      </w:r>
      <w:r w:rsidRPr="00BF5FE2">
        <w:t xml:space="preserve"> having been recorded in 13 plots in 1971.</w:t>
      </w:r>
    </w:p>
    <w:p w14:paraId="76D8D0A4" w14:textId="77777777" w:rsidR="00F72067" w:rsidRPr="0051376C" w:rsidRDefault="00F72067" w:rsidP="00C077C0">
      <w:pPr>
        <w:rPr>
          <w:color w:val="808080" w:themeColor="background1" w:themeShade="80"/>
        </w:rPr>
      </w:pPr>
    </w:p>
    <w:p w14:paraId="76C90C2D" w14:textId="77777777" w:rsidR="00F72067" w:rsidRDefault="00F72067" w:rsidP="00C077C0">
      <w:pPr>
        <w:rPr>
          <w:b/>
          <w:bCs/>
        </w:rPr>
      </w:pPr>
      <w:r>
        <w:rPr>
          <w:b/>
          <w:bCs/>
        </w:rPr>
        <w:t xml:space="preserve">4. </w:t>
      </w:r>
      <w:commentRangeStart w:id="47"/>
      <w:r>
        <w:rPr>
          <w:b/>
          <w:bCs/>
        </w:rPr>
        <w:t>Result comparisons with other pinewood surveys</w:t>
      </w:r>
      <w:commentRangeEnd w:id="47"/>
      <w:r w:rsidR="003D504C">
        <w:rPr>
          <w:rStyle w:val="CommentReference"/>
        </w:rPr>
        <w:commentReference w:id="47"/>
      </w:r>
    </w:p>
    <w:p w14:paraId="19E50A12" w14:textId="77777777" w:rsidR="00F72067" w:rsidRDefault="00F72067" w:rsidP="00C077C0">
      <w:r>
        <w:t xml:space="preserve">Aside from the Bunce survey, other surveys and reports have been published regarding the Caledonian pinewood habitat. Most recently, Trees for Life published findings from the Caledonian Pinewood Recovery Project </w:t>
      </w:r>
      <w:r>
        <w:rPr>
          <w:noProof/>
        </w:rPr>
        <w:t>(Rainey and Holmes, 2023)</w:t>
      </w:r>
      <w:r>
        <w:t xml:space="preserve"> - a large-scale survey covering many aspects of the pinewoods. There have been other reviews </w:t>
      </w:r>
      <w:r>
        <w:rPr>
          <w:noProof/>
        </w:rPr>
        <w:t>(Bain, 1987)</w:t>
      </w:r>
      <w:r>
        <w:t xml:space="preserve"> and inventories supported by the national public forestry agencies </w:t>
      </w:r>
      <w:r>
        <w:rPr>
          <w:noProof/>
        </w:rPr>
        <w:t>(Forestry Commission, 1994; Scottish Forestry, 2014)</w:t>
      </w:r>
      <w:r>
        <w:t xml:space="preserve">; there have also been many local or targeted studies, for example </w:t>
      </w:r>
      <w:r>
        <w:rPr>
          <w:noProof/>
        </w:rPr>
        <w:t>Wilson and Puri (2001); Tayside Biodiversity Partnership (2002); Cameron et al. (2000); Scott et al. (2000)</w:t>
      </w:r>
      <w:r>
        <w:t>. The Bunce survey is the only study that includes trees, ground flora, soils and other attributes, using statistically robust data</w:t>
      </w:r>
      <w:r w:rsidRPr="00245A05">
        <w:t xml:space="preserve"> from repeated plots over</w:t>
      </w:r>
      <w:r>
        <w:t xml:space="preserve"> a </w:t>
      </w:r>
      <w:r w:rsidRPr="00245A05">
        <w:t>50 year time</w:t>
      </w:r>
      <w:r>
        <w:t>-</w:t>
      </w:r>
      <w:r w:rsidRPr="00245A05">
        <w:t>span</w:t>
      </w:r>
      <w:r>
        <w:t>, giving an</w:t>
      </w:r>
      <w:r w:rsidRPr="00245A05">
        <w:t xml:space="preserve"> indication of change</w:t>
      </w:r>
      <w:r>
        <w:t xml:space="preserve"> over that period.</w:t>
      </w:r>
      <w:r w:rsidRPr="00DD10C9">
        <w:t xml:space="preserve"> </w:t>
      </w:r>
      <w:r>
        <w:t xml:space="preserve">The Caledonian Pinewood Inventory </w:t>
      </w:r>
      <w:r>
        <w:rPr>
          <w:noProof/>
        </w:rPr>
        <w:t>(Forestry Commission, 1994)</w:t>
      </w:r>
      <w:r>
        <w:t xml:space="preserve"> and Native Woodland Survey of Scotland (NWSS) </w:t>
      </w:r>
      <w:r>
        <w:rPr>
          <w:noProof/>
        </w:rPr>
        <w:t>(Scottish Forestry, 2014)</w:t>
      </w:r>
      <w:r>
        <w:t xml:space="preserve"> provide information on the extent of pinewoods</w:t>
      </w:r>
      <w:r w:rsidRPr="00477B94">
        <w:t>, invasive</w:t>
      </w:r>
      <w:r>
        <w:t xml:space="preserve"> species and </w:t>
      </w:r>
      <w:r w:rsidRPr="00477B94">
        <w:t>tree growth stages as part of canopy</w:t>
      </w:r>
      <w:r>
        <w:t xml:space="preserve">, but lack detailed information on the composition of the woods – the ground flora, tree characteristics and soil metrics.  The Trees for Life report </w:t>
      </w:r>
      <w:r>
        <w:rPr>
          <w:noProof/>
        </w:rPr>
        <w:t>(Rainey and Holmes, 2023)</w:t>
      </w:r>
      <w:r>
        <w:t xml:space="preserve"> builds on the Caledonian Pinewood Inventory and identifies a few errors in the previous recording of sites, as well as discovering new pinewood fragments. Whilst it is wider ranging geographically than the Bunce survey, it doesn’t sample soils or ground flora in as much detail nor can it provide the comparisons over time that the Bunce survey can. Some of the overall key messages are the same in both datasets, for example the same four species were recorded as the dominant ones in terms of cover in the pinewoods, namely ling heather (</w:t>
      </w:r>
      <w:r w:rsidRPr="00DD10C9">
        <w:rPr>
          <w:i/>
          <w:iCs/>
        </w:rPr>
        <w:t>Calluna vulgaris</w:t>
      </w:r>
      <w:r>
        <w:rPr>
          <w:i/>
          <w:iCs/>
        </w:rPr>
        <w:t>),</w:t>
      </w:r>
      <w:r>
        <w:t xml:space="preserve"> followed by purple moor grass (</w:t>
      </w:r>
      <w:r w:rsidRPr="00DD10C9">
        <w:rPr>
          <w:i/>
          <w:iCs/>
        </w:rPr>
        <w:t>Molinia caerulea</w:t>
      </w:r>
      <w:r>
        <w:rPr>
          <w:i/>
          <w:iCs/>
        </w:rPr>
        <w:t>)</w:t>
      </w:r>
      <w:r>
        <w:t>, bilberry/blaeberry (</w:t>
      </w:r>
      <w:r w:rsidRPr="00DD10C9">
        <w:rPr>
          <w:i/>
          <w:iCs/>
        </w:rPr>
        <w:t>Vaccinium myrtillus</w:t>
      </w:r>
      <w:r>
        <w:rPr>
          <w:i/>
          <w:iCs/>
        </w:rPr>
        <w:t>)</w:t>
      </w:r>
      <w:r>
        <w:t xml:space="preserve"> and bracken (</w:t>
      </w:r>
      <w:r w:rsidRPr="00DD10C9">
        <w:rPr>
          <w:i/>
          <w:iCs/>
        </w:rPr>
        <w:t>Pteridium aquilinum</w:t>
      </w:r>
      <w:r>
        <w:rPr>
          <w:i/>
          <w:iCs/>
        </w:rPr>
        <w:t>)</w:t>
      </w:r>
      <w:r>
        <w:t xml:space="preserve">. </w:t>
      </w:r>
    </w:p>
    <w:p w14:paraId="02C0016D" w14:textId="77777777" w:rsidR="00F72067" w:rsidRPr="005F1989" w:rsidRDefault="00F72067" w:rsidP="00C077C0">
      <w:r>
        <w:t>The Trees for Life survey reports a</w:t>
      </w:r>
      <w:r w:rsidRPr="005F1989">
        <w:t xml:space="preserve"> shift to birch dominated woods in </w:t>
      </w:r>
      <w:r>
        <w:t xml:space="preserve">the </w:t>
      </w:r>
      <w:r w:rsidRPr="005F1989">
        <w:t>south west region</w:t>
      </w:r>
      <w:r>
        <w:t xml:space="preserve">. In the Bunce study, in the south western sites, we detect increases in birch at Ardgour, Glengarry and </w:t>
      </w:r>
      <w:proofErr w:type="spellStart"/>
      <w:r>
        <w:t>Barrisdale</w:t>
      </w:r>
      <w:proofErr w:type="spellEnd"/>
      <w:r>
        <w:t>, but not at Glen Moriston or Loch Arkaig. It is likely that there are potential opportunities to undertake joint analyses with the Bunce and Trees for Life survey data.</w:t>
      </w:r>
    </w:p>
    <w:p w14:paraId="1B035E82" w14:textId="77777777" w:rsidR="00F72067" w:rsidRDefault="00F72067" w:rsidP="00C077C0"/>
    <w:p w14:paraId="6B4D65A3" w14:textId="77777777" w:rsidR="00F72067" w:rsidRDefault="00F72067" w:rsidP="00C077C0">
      <w:pPr>
        <w:rPr>
          <w:b/>
          <w:bCs/>
        </w:rPr>
      </w:pPr>
      <w:r>
        <w:rPr>
          <w:b/>
          <w:bCs/>
        </w:rPr>
        <w:t xml:space="preserve">5. Conclusions </w:t>
      </w:r>
    </w:p>
    <w:p w14:paraId="134108D7" w14:textId="77777777" w:rsidR="00F72067" w:rsidRDefault="00F72067" w:rsidP="00C077C0">
      <w:r>
        <w:t>The Bunce pinewood survey provides a</w:t>
      </w:r>
      <w:r w:rsidRPr="00BE70FF">
        <w:t xml:space="preserve">n extremely rich dataset </w:t>
      </w:r>
      <w:r>
        <w:t xml:space="preserve">that will be an invaluable resource for exploring the responses of Scots pine woodlands to the changing environment, such as variations in canopy cover and the effects of shade on ground flora, the effect of storm damage and tree disease on ground flora, regional variations, climate change and deposition and pollution effects, as well as site level analyses. </w:t>
      </w:r>
      <w:r w:rsidRPr="00B70745">
        <w:t>Since there is a large degree of spatial overlap in sites between this survey and the other recent surveys highlighted above there is additional scope for synergy and richer analyses resulting from combining datasets.</w:t>
      </w:r>
    </w:p>
    <w:p w14:paraId="40FCE5DD" w14:textId="77777777" w:rsidR="00F72067" w:rsidRDefault="00F72067" w:rsidP="00C077C0">
      <w:r w:rsidRPr="00484923">
        <w:t>Whilst positive signs of change</w:t>
      </w:r>
      <w:r>
        <w:t xml:space="preserve"> have been detected</w:t>
      </w:r>
      <w:r w:rsidRPr="00484923">
        <w:t xml:space="preserve"> since 1971, there are still concerns regarding the health and resilience of the </w:t>
      </w:r>
      <w:r>
        <w:t>Caledonian pinewood</w:t>
      </w:r>
      <w:r w:rsidRPr="00484923">
        <w:t xml:space="preserve"> habitat.</w:t>
      </w:r>
      <w:r>
        <w:t xml:space="preserve"> It is encouraging to see an overall i</w:t>
      </w:r>
      <w:r w:rsidRPr="00BF5FE2">
        <w:t>ncrease in Scots pine</w:t>
      </w:r>
      <w:r>
        <w:t xml:space="preserve"> (</w:t>
      </w:r>
      <w:r w:rsidRPr="009636E8">
        <w:rPr>
          <w:i/>
          <w:iCs/>
        </w:rPr>
        <w:t>Pinus sylvestris</w:t>
      </w:r>
      <w:r>
        <w:t>)</w:t>
      </w:r>
      <w:r w:rsidRPr="00BF5FE2">
        <w:t xml:space="preserve"> and </w:t>
      </w:r>
      <w:r>
        <w:t>b</w:t>
      </w:r>
      <w:r w:rsidRPr="00BF5FE2">
        <w:t>irch</w:t>
      </w:r>
      <w:r>
        <w:t xml:space="preserve"> (</w:t>
      </w:r>
      <w:r w:rsidRPr="009636E8">
        <w:rPr>
          <w:i/>
          <w:iCs/>
        </w:rPr>
        <w:t>Betula</w:t>
      </w:r>
      <w:r>
        <w:t xml:space="preserve"> spp.) trees, replacing planted non-native species, largely as a result of policies initiated by public forestry bodies. However, there is s</w:t>
      </w:r>
      <w:r w:rsidRPr="005F1989">
        <w:t>till</w:t>
      </w:r>
      <w:r>
        <w:t xml:space="preserve"> a significant presence of</w:t>
      </w:r>
      <w:r w:rsidRPr="005F1989">
        <w:t xml:space="preserve"> non-native trees</w:t>
      </w:r>
      <w:r>
        <w:t xml:space="preserve"> at many sites.</w:t>
      </w:r>
    </w:p>
    <w:p w14:paraId="410B2D3F" w14:textId="77777777" w:rsidR="00F72067" w:rsidRDefault="00F72067" w:rsidP="00C077C0">
      <w:r>
        <w:t xml:space="preserve">The greatest increase in stem counts were associated with </w:t>
      </w:r>
      <w:r w:rsidRPr="00BF5FE2">
        <w:t>Scots pine</w:t>
      </w:r>
      <w:r>
        <w:t xml:space="preserve"> (</w:t>
      </w:r>
      <w:r w:rsidRPr="009636E8">
        <w:rPr>
          <w:i/>
          <w:iCs/>
        </w:rPr>
        <w:t>Pinus sylvestris</w:t>
      </w:r>
      <w:r>
        <w:t>)</w:t>
      </w:r>
      <w:r w:rsidRPr="00BF5FE2">
        <w:t xml:space="preserve"> and </w:t>
      </w:r>
      <w:r>
        <w:t>b</w:t>
      </w:r>
      <w:r w:rsidRPr="00BF5FE2">
        <w:t>irch</w:t>
      </w:r>
      <w:r>
        <w:t xml:space="preserve"> (</w:t>
      </w:r>
      <w:r w:rsidRPr="009636E8">
        <w:rPr>
          <w:i/>
          <w:iCs/>
        </w:rPr>
        <w:t>Betula</w:t>
      </w:r>
      <w:r>
        <w:t xml:space="preserve"> spp.), and the growing presence of their seedlings and saplings within the field layer augurs well for the future. Both </w:t>
      </w:r>
      <w:r>
        <w:lastRenderedPageBreak/>
        <w:t>species are more frequent in the 2022 Bunce survey, birch (</w:t>
      </w:r>
      <w:r w:rsidRPr="009636E8">
        <w:rPr>
          <w:i/>
          <w:iCs/>
        </w:rPr>
        <w:t>Betula</w:t>
      </w:r>
      <w:r>
        <w:t xml:space="preserve"> spp.) by 19 % and Scots pine (</w:t>
      </w:r>
      <w:r w:rsidRPr="009636E8">
        <w:rPr>
          <w:i/>
          <w:iCs/>
        </w:rPr>
        <w:t>Pinus sylvestris</w:t>
      </w:r>
      <w:r>
        <w:t>)</w:t>
      </w:r>
      <w:r w:rsidRPr="00BF5FE2">
        <w:t xml:space="preserve"> </w:t>
      </w:r>
      <w:r>
        <w:t>by 40 %. Rowan (</w:t>
      </w:r>
      <w:r w:rsidRPr="009636E8">
        <w:rPr>
          <w:i/>
          <w:iCs/>
        </w:rPr>
        <w:t>Sorbus aucuparia</w:t>
      </w:r>
      <w:r>
        <w:t xml:space="preserve">) seedlings and saplings, and signs of regeneration, have also increased their frequency in the field layer so it is </w:t>
      </w:r>
      <w:commentRangeStart w:id="48"/>
      <w:r>
        <w:t>likely</w:t>
      </w:r>
      <w:commentRangeEnd w:id="48"/>
      <w:r w:rsidR="003D504C">
        <w:rPr>
          <w:rStyle w:val="CommentReference"/>
        </w:rPr>
        <w:commentReference w:id="48"/>
      </w:r>
      <w:r>
        <w:t xml:space="preserve"> that rowan will become more frequent in the future canopy, </w:t>
      </w:r>
      <w:commentRangeStart w:id="49"/>
      <w:r>
        <w:t>assuming no other impacts upon the population, such as grazing or disease</w:t>
      </w:r>
      <w:commentRangeEnd w:id="49"/>
      <w:r w:rsidR="00685417">
        <w:rPr>
          <w:rStyle w:val="CommentReference"/>
        </w:rPr>
        <w:commentReference w:id="49"/>
      </w:r>
      <w:r>
        <w:t xml:space="preserve">. The overall stem count for rowan </w:t>
      </w:r>
      <w:r w:rsidRPr="00DB218F">
        <w:t>(</w:t>
      </w:r>
      <w:r w:rsidRPr="00DB218F">
        <w:rPr>
          <w:i/>
          <w:iCs/>
        </w:rPr>
        <w:t>Sorbus aucuparia</w:t>
      </w:r>
      <w:r w:rsidRPr="00DB218F">
        <w:t xml:space="preserve">) </w:t>
      </w:r>
      <w:r>
        <w:t xml:space="preserve">has decreased since 1971, so this may be the case, and would be worth investigating further. </w:t>
      </w:r>
      <w:r w:rsidRPr="008C2D10">
        <w:t xml:space="preserve">Black Mount, </w:t>
      </w:r>
      <w:commentRangeStart w:id="50"/>
      <w:r w:rsidRPr="008C2D10">
        <w:t xml:space="preserve">Glen Affric, Glen </w:t>
      </w:r>
      <w:proofErr w:type="spellStart"/>
      <w:r w:rsidRPr="008C2D10">
        <w:t>Feshie</w:t>
      </w:r>
      <w:proofErr w:type="spellEnd"/>
      <w:r>
        <w:t xml:space="preserve"> and</w:t>
      </w:r>
      <w:r w:rsidRPr="008C2D10">
        <w:t xml:space="preserve"> Glengarry have </w:t>
      </w:r>
      <w:r>
        <w:t xml:space="preserve">all </w:t>
      </w:r>
      <w:r w:rsidRPr="008C2D10">
        <w:t>seen declines in</w:t>
      </w:r>
      <w:r>
        <w:t xml:space="preserve"> Scots</w:t>
      </w:r>
      <w:r w:rsidRPr="008C2D10">
        <w:t xml:space="preserve"> pine</w:t>
      </w:r>
      <w:r>
        <w:t xml:space="preserve"> (</w:t>
      </w:r>
      <w:r w:rsidRPr="009636E8">
        <w:rPr>
          <w:i/>
          <w:iCs/>
        </w:rPr>
        <w:t>Pinus sylvestris</w:t>
      </w:r>
      <w:r>
        <w:t xml:space="preserve">). </w:t>
      </w:r>
      <w:r w:rsidRPr="008C2D10">
        <w:t>At Glen Affric</w:t>
      </w:r>
      <w:r>
        <w:t xml:space="preserve"> and</w:t>
      </w:r>
      <w:r w:rsidRPr="008C2D10">
        <w:t xml:space="preserve"> Glen Feshie, the decline appears to be related to the loss of mature trees as stem </w:t>
      </w:r>
      <w:proofErr w:type="spellStart"/>
      <w:r w:rsidRPr="008C2D10">
        <w:t>dbh</w:t>
      </w:r>
      <w:proofErr w:type="spellEnd"/>
      <w:r w:rsidRPr="008C2D10">
        <w:t xml:space="preserve"> has respectively diminished by -14.70 cm </w:t>
      </w:r>
      <w:r>
        <w:t>and</w:t>
      </w:r>
      <w:r w:rsidRPr="008C2D10">
        <w:t xml:space="preserve"> -0.26 cm.  </w:t>
      </w:r>
      <w:commentRangeEnd w:id="50"/>
      <w:r w:rsidR="005A5794">
        <w:rPr>
          <w:rStyle w:val="CommentReference"/>
        </w:rPr>
        <w:commentReference w:id="50"/>
      </w:r>
    </w:p>
    <w:p w14:paraId="64D39B2F" w14:textId="77777777" w:rsidR="00F72067" w:rsidRPr="00BF5FE2" w:rsidRDefault="00F72067" w:rsidP="00C077C0">
      <w:r>
        <w:t xml:space="preserve">There is evidence to suggest that climate change may bring about an increase in winter storms </w:t>
      </w:r>
      <w:r>
        <w:rPr>
          <w:noProof/>
        </w:rPr>
        <w:t>(Slingo et al., 2014; Woth et al., 2006; Seidl et al., 2017)</w:t>
      </w:r>
      <w:r>
        <w:t xml:space="preserve">, with the accompanying damage they cause. Plant pathogens are also increasing </w:t>
      </w:r>
      <w:r>
        <w:rPr>
          <w:noProof/>
        </w:rPr>
        <w:t>(Gougherty, 2023)</w:t>
      </w:r>
      <w:r>
        <w:t xml:space="preserve">. In the pinewoods, </w:t>
      </w:r>
      <w:proofErr w:type="spellStart"/>
      <w:r w:rsidRPr="00663F7C">
        <w:rPr>
          <w:i/>
          <w:iCs/>
        </w:rPr>
        <w:t>Dothistroma</w:t>
      </w:r>
      <w:proofErr w:type="spellEnd"/>
      <w:r w:rsidRPr="00354E21">
        <w:t xml:space="preserve"> </w:t>
      </w:r>
      <w:r>
        <w:t>N</w:t>
      </w:r>
      <w:r w:rsidRPr="00354E21">
        <w:t xml:space="preserve">eedle </w:t>
      </w:r>
      <w:r>
        <w:t>B</w:t>
      </w:r>
      <w:r w:rsidRPr="00354E21">
        <w:t xml:space="preserve">light (DNB) </w:t>
      </w:r>
      <w:r>
        <w:t>is already evident in nearly a third of the Bunce sites. Climate change, as well as other factors such as nitrogen and sulphur deposition, are also likely to be affecting soil pH values, which overall showed an increase.</w:t>
      </w:r>
    </w:p>
    <w:p w14:paraId="24F536FD" w14:textId="77777777" w:rsidR="00F72067" w:rsidRDefault="00F72067" w:rsidP="00C077C0">
      <w:r>
        <w:t>D</w:t>
      </w:r>
      <w:r w:rsidRPr="005F1989">
        <w:t>eer pressure</w:t>
      </w:r>
      <w:r>
        <w:t xml:space="preserve"> in the pinewoods is evident despite signs of fencing, with 19 of the Bunce sites showing an increase in signs of deer since 1971,</w:t>
      </w:r>
      <w:r w:rsidRPr="00024CF1">
        <w:t xml:space="preserve"> with these sites showing a minimal change in number of smaller stemmed tree species</w:t>
      </w:r>
      <w:r>
        <w:t xml:space="preserve">. At sites where an increase in deer signs was noted, the mean change in the number of smaller stemmed tree species recorded was only 0.68, but 16.4 at sites </w:t>
      </w:r>
      <w:commentRangeStart w:id="51"/>
      <w:r>
        <w:t>where deer had decreased</w:t>
      </w:r>
      <w:commentRangeEnd w:id="51"/>
      <w:r w:rsidR="00773AC3">
        <w:rPr>
          <w:rStyle w:val="CommentReference"/>
        </w:rPr>
        <w:commentReference w:id="51"/>
      </w:r>
      <w:r>
        <w:t xml:space="preserve">. In terms of the ground flora, </w:t>
      </w:r>
      <w:r w:rsidRPr="002D2E68">
        <w:t xml:space="preserve">the </w:t>
      </w:r>
      <w:commentRangeStart w:id="52"/>
      <w:r w:rsidRPr="002D2E68">
        <w:t xml:space="preserve">mean change </w:t>
      </w:r>
      <w:commentRangeEnd w:id="52"/>
      <w:r w:rsidR="003D504C">
        <w:rPr>
          <w:rStyle w:val="CommentReference"/>
        </w:rPr>
        <w:commentReference w:id="52"/>
      </w:r>
      <w:r w:rsidRPr="002D2E68">
        <w:t xml:space="preserve">in absolute species numbers was </w:t>
      </w:r>
      <w:r>
        <w:t>higher at sites with a deer increase. There is also evidence of a decrease in palatable species such as bilberry/blaeberry (</w:t>
      </w:r>
      <w:r w:rsidRPr="002D2E68">
        <w:rPr>
          <w:i/>
          <w:iCs/>
        </w:rPr>
        <w:t>Vaccinium myrtillus</w:t>
      </w:r>
      <w:r>
        <w:rPr>
          <w:i/>
          <w:iCs/>
        </w:rPr>
        <w:t>)</w:t>
      </w:r>
      <w:r>
        <w:t xml:space="preserve"> and an increase in grasses.</w:t>
      </w:r>
    </w:p>
    <w:p w14:paraId="6E4B4460" w14:textId="77777777" w:rsidR="00F72067" w:rsidRDefault="00F72067" w:rsidP="00C077C0">
      <w:commentRangeStart w:id="53"/>
      <w:r>
        <w:t xml:space="preserve">Overall, in line with many other plant studies in the UK </w:t>
      </w:r>
      <w:r>
        <w:rPr>
          <w:noProof/>
        </w:rPr>
        <w:t>(Maskell et al., 2010; Marrs et al., 2013; Carvalheiro et al., 2013; Seaton et al., 2025)</w:t>
      </w:r>
      <w:r>
        <w:t xml:space="preserve"> s</w:t>
      </w:r>
      <w:r w:rsidRPr="008C2D10">
        <w:t>pecies</w:t>
      </w:r>
      <w:r>
        <w:t xml:space="preserve"> </w:t>
      </w:r>
      <w:r w:rsidRPr="008C2D10">
        <w:t>richness of the vascular plants in the field layer has declined</w:t>
      </w:r>
      <w:r>
        <w:t>,</w:t>
      </w:r>
      <w:r w:rsidRPr="008C2D10">
        <w:t xml:space="preserve"> from an average of 18.6 species in 1971 to 17.5 species in the 2020s.  This change equates to an average loss of 1.1 vascular species across all plots, or a reduction of 4.5 %.</w:t>
      </w:r>
      <w:r>
        <w:t xml:space="preserve"> This coincides with an i</w:t>
      </w:r>
      <w:r w:rsidRPr="008C2D10">
        <w:t>ncrease in species suited to warmer, wetter climates</w:t>
      </w:r>
      <w:r>
        <w:t xml:space="preserve"> but also may be related to variations in canopy cover and composition and factors driving those</w:t>
      </w:r>
      <w:r w:rsidRPr="008C2D10">
        <w:t>.</w:t>
      </w:r>
      <w:commentRangeEnd w:id="53"/>
      <w:r w:rsidR="00773AC3">
        <w:rPr>
          <w:rStyle w:val="CommentReference"/>
        </w:rPr>
        <w:commentReference w:id="53"/>
      </w:r>
    </w:p>
    <w:p w14:paraId="588B071E" w14:textId="77777777" w:rsidR="00F72067" w:rsidRPr="008C2D10" w:rsidRDefault="00F72067" w:rsidP="00C077C0">
      <w:commentRangeStart w:id="54"/>
      <w:r>
        <w:t xml:space="preserve">Whilst there remains work to be done in conserving this precious habitat, the Bunce dataset provides a critical source of evidence to direct decision-makers towards a better future in the Scottish pinewoods. </w:t>
      </w:r>
      <w:commentRangeEnd w:id="54"/>
      <w:r w:rsidR="003D504C">
        <w:rPr>
          <w:rStyle w:val="CommentReference"/>
        </w:rPr>
        <w:commentReference w:id="54"/>
      </w:r>
    </w:p>
    <w:p w14:paraId="689CE7A2" w14:textId="77777777" w:rsidR="00F72067" w:rsidRDefault="00F72067" w:rsidP="00C077C0"/>
    <w:p w14:paraId="666F149B" w14:textId="77777777" w:rsidR="00F72067" w:rsidRDefault="00F72067" w:rsidP="00C077C0"/>
    <w:p w14:paraId="4E766795" w14:textId="77777777" w:rsidR="00F72067" w:rsidRDefault="00F72067" w:rsidP="00C077C0">
      <w:pPr>
        <w:rPr>
          <w:b/>
          <w:bCs/>
        </w:rPr>
      </w:pPr>
      <w:r>
        <w:rPr>
          <w:b/>
          <w:bCs/>
        </w:rPr>
        <w:t xml:space="preserve">6. </w:t>
      </w:r>
      <w:r w:rsidRPr="001309E8">
        <w:rPr>
          <w:b/>
          <w:bCs/>
        </w:rPr>
        <w:t xml:space="preserve">Data availability </w:t>
      </w:r>
    </w:p>
    <w:p w14:paraId="2F70A0D6" w14:textId="77777777" w:rsidR="00F72067" w:rsidRDefault="00F72067" w:rsidP="00C077C0">
      <w:r w:rsidRPr="00040F86">
        <w:t>The data sets have been assigned digital object identifiers and users of the data should reference the data as follows: Smart</w:t>
      </w:r>
      <w:r w:rsidRPr="001309E8">
        <w:t xml:space="preserve">, S.M.; Wood, C.M.; Seaton, F.M.; McMullen, A.; Ward, S.E.; Ward, R.; Routledge, G.; Massey, K.; Everard, A.; Ross, L.; Benskin, C.M.H.; Dodd, B.A. (2023). Habitat, vegetation, tree and soil data from Native Pinewoods in Scotland, 2018-2022. NERC EDS Environmental Information Data Centre. </w:t>
      </w:r>
      <w:hyperlink r:id="rId27" w:history="1">
        <w:r w:rsidRPr="00384B7C">
          <w:rPr>
            <w:rStyle w:val="Hyperlink"/>
            <w:rFonts w:eastAsiaTheme="majorEastAsia"/>
          </w:rPr>
          <w:t>https://doi.org/10.5285/5e268e86-4a4f-4112-bf2d-c3b0179c915c</w:t>
        </w:r>
      </w:hyperlink>
      <w:r>
        <w:t xml:space="preserve"> </w:t>
      </w:r>
    </w:p>
    <w:p w14:paraId="0ED70631" w14:textId="77777777" w:rsidR="00F72067" w:rsidRDefault="00F72067" w:rsidP="00C077C0">
      <w:r>
        <w:t xml:space="preserve">The 1971 data set is supplied as described in </w:t>
      </w:r>
      <w:r>
        <w:rPr>
          <w:noProof/>
        </w:rPr>
        <w:t>Wood and Bunce (2016)</w:t>
      </w:r>
      <w:r>
        <w:t xml:space="preserve">. </w:t>
      </w:r>
      <w:r w:rsidRPr="00040F86">
        <w:t>The data are provided under the terms of the Open Government Licence (</w:t>
      </w:r>
      <w:hyperlink r:id="rId28" w:history="1">
        <w:r w:rsidRPr="00F80B7F">
          <w:rPr>
            <w:rStyle w:val="Hyperlink"/>
            <w:rFonts w:eastAsiaTheme="majorEastAsia"/>
          </w:rPr>
          <w:t>https://eidc.ceh.ac.uk/licences/OGL/plain</w:t>
        </w:r>
      </w:hyperlink>
      <w:r w:rsidRPr="007A2F6E">
        <w:t>,</w:t>
      </w:r>
      <w:r>
        <w:t xml:space="preserve"> </w:t>
      </w:r>
      <w:hyperlink r:id="rId29" w:history="1">
        <w:r w:rsidRPr="00F80B7F">
          <w:rPr>
            <w:rStyle w:val="Hyperlink"/>
            <w:rFonts w:eastAsiaTheme="majorEastAsia"/>
          </w:rPr>
          <w:t>https://www.nationalarchives.gov.uk/doc/open-government-licence/version/3/</w:t>
        </w:r>
      </w:hyperlink>
      <w:r>
        <w:t xml:space="preserve"> </w:t>
      </w:r>
      <w:r w:rsidRPr="007A2F6E">
        <w:t xml:space="preserve">). The metadata are stored in the ISO 19115 (2014) schema (International Organization for Standardization, 2015) in the UK Gemini 2.3 profile </w:t>
      </w:r>
      <w:r>
        <w:rPr>
          <w:noProof/>
        </w:rPr>
        <w:t>(Uk Gemini, 2018)</w:t>
      </w:r>
      <w:r w:rsidRPr="007A2F6E">
        <w:t xml:space="preserve">. </w:t>
      </w:r>
      <w:r w:rsidRPr="00040F86">
        <w:t xml:space="preserve">Users of the data will find the following document useful, supplied as supporting </w:t>
      </w:r>
      <w:r w:rsidRPr="00040F86">
        <w:lastRenderedPageBreak/>
        <w:t>documentation with the data sets:</w:t>
      </w:r>
      <w:r w:rsidRPr="00223165">
        <w:t xml:space="preserve"> </w:t>
      </w:r>
      <w:r>
        <w:t>‘</w:t>
      </w:r>
      <w:r w:rsidRPr="00223165">
        <w:t>National Woodland Survey &amp; Native Pine Survey Field Handbook</w:t>
      </w:r>
      <w:r>
        <w:t>’</w:t>
      </w:r>
      <w:r w:rsidRPr="00040F86">
        <w:t xml:space="preserve"> </w:t>
      </w:r>
      <w:r>
        <w:rPr>
          <w:noProof/>
        </w:rPr>
        <w:t>(Smart and Wood, 2021)</w:t>
      </w:r>
      <w:r>
        <w:t>.</w:t>
      </w:r>
    </w:p>
    <w:p w14:paraId="6A152E1C" w14:textId="77777777" w:rsidR="00F72067" w:rsidRDefault="00F72067" w:rsidP="00C077C0"/>
    <w:p w14:paraId="4996DDBC" w14:textId="77777777" w:rsidR="00F72067" w:rsidRPr="001309E8" w:rsidRDefault="00F72067" w:rsidP="00C077C0">
      <w:pPr>
        <w:rPr>
          <w:b/>
          <w:bCs/>
        </w:rPr>
      </w:pPr>
      <w:r w:rsidRPr="001309E8">
        <w:rPr>
          <w:b/>
          <w:bCs/>
        </w:rPr>
        <w:t>Author contributions</w:t>
      </w:r>
    </w:p>
    <w:p w14:paraId="3BC54EE9" w14:textId="7F526BB7" w:rsidR="00F72067" w:rsidRPr="001309E8" w:rsidRDefault="00F72067" w:rsidP="00C077C0">
      <w:r w:rsidRPr="00334661">
        <w:t xml:space="preserve">Claire Wood prepared the manuscript with significant contributions from all co-authors, and is the current database manager for the Land Use </w:t>
      </w:r>
      <w:r w:rsidR="00AC7F7F">
        <w:t>r</w:t>
      </w:r>
      <w:r w:rsidRPr="00334661">
        <w:t xml:space="preserve">esearch </w:t>
      </w:r>
      <w:r w:rsidR="00AC7F7F">
        <w:t>g</w:t>
      </w:r>
      <w:r w:rsidRPr="00334661">
        <w:t>roup at CEH Lancaster. Simon</w:t>
      </w:r>
      <w:r>
        <w:t xml:space="preserve"> Smart managed the survey in 2018-2022. Fiona Seaton and Clare Benskin managed the soil data. Andy McMullen and Sue Ward were part of the field survey team.  </w:t>
      </w:r>
      <w:r w:rsidRPr="00CE5209">
        <w:t>Karen Hornigold and Chris Nichols provided support from the Woodland Trust</w:t>
      </w:r>
      <w:r>
        <w:t>.</w:t>
      </w:r>
    </w:p>
    <w:p w14:paraId="1B7123C7" w14:textId="77777777" w:rsidR="00F72067" w:rsidRDefault="00F72067" w:rsidP="00C077C0"/>
    <w:p w14:paraId="5E7648AE" w14:textId="77777777" w:rsidR="00F72067" w:rsidRPr="001309E8" w:rsidRDefault="00F72067" w:rsidP="00C077C0">
      <w:pPr>
        <w:rPr>
          <w:b/>
          <w:bCs/>
        </w:rPr>
      </w:pPr>
      <w:r w:rsidRPr="001309E8">
        <w:rPr>
          <w:b/>
          <w:bCs/>
        </w:rPr>
        <w:t>Acknowledgements</w:t>
      </w:r>
    </w:p>
    <w:p w14:paraId="7ACF2EAC" w14:textId="77777777" w:rsidR="00F72067" w:rsidRDefault="00F72067" w:rsidP="00C077C0">
      <w:r>
        <w:t xml:space="preserve"> The fieldwork for the survey was carried out by A. </w:t>
      </w:r>
      <w:r w:rsidRPr="001309E8">
        <w:t>McMullen</w:t>
      </w:r>
      <w:r>
        <w:t>,</w:t>
      </w:r>
      <w:r w:rsidRPr="001309E8">
        <w:t xml:space="preserve"> </w:t>
      </w:r>
      <w:r>
        <w:t xml:space="preserve">S. </w:t>
      </w:r>
      <w:r w:rsidRPr="001309E8">
        <w:t>Ward</w:t>
      </w:r>
      <w:r>
        <w:t>,</w:t>
      </w:r>
      <w:r w:rsidRPr="001309E8">
        <w:t xml:space="preserve"> </w:t>
      </w:r>
      <w:r>
        <w:t xml:space="preserve">R. </w:t>
      </w:r>
      <w:r w:rsidRPr="001309E8">
        <w:t xml:space="preserve">Ward, </w:t>
      </w:r>
      <w:r>
        <w:t xml:space="preserve">G. </w:t>
      </w:r>
      <w:r w:rsidRPr="001309E8">
        <w:t xml:space="preserve">Routledge, </w:t>
      </w:r>
      <w:r>
        <w:t xml:space="preserve">K. </w:t>
      </w:r>
      <w:r w:rsidRPr="001309E8">
        <w:t xml:space="preserve">Massey, </w:t>
      </w:r>
      <w:r>
        <w:t xml:space="preserve">A. </w:t>
      </w:r>
      <w:r w:rsidRPr="001309E8">
        <w:t>Everard, L.</w:t>
      </w:r>
      <w:r>
        <w:t xml:space="preserve"> </w:t>
      </w:r>
      <w:r w:rsidRPr="001309E8">
        <w:t>Ross</w:t>
      </w:r>
      <w:r>
        <w:t xml:space="preserve"> (and students). </w:t>
      </w:r>
      <w:r w:rsidRPr="001309E8">
        <w:t>C.</w:t>
      </w:r>
      <w:r>
        <w:t xml:space="preserve"> </w:t>
      </w:r>
      <w:r w:rsidRPr="001309E8">
        <w:t xml:space="preserve">Benskin </w:t>
      </w:r>
      <w:r>
        <w:t>and</w:t>
      </w:r>
      <w:r w:rsidRPr="001309E8">
        <w:t xml:space="preserve"> </w:t>
      </w:r>
      <w:r>
        <w:t xml:space="preserve">B. </w:t>
      </w:r>
      <w:r w:rsidRPr="001309E8">
        <w:t>Dodd</w:t>
      </w:r>
      <w:r>
        <w:t xml:space="preserve"> provided laboratory assistance.</w:t>
      </w:r>
    </w:p>
    <w:p w14:paraId="793E7929" w14:textId="77777777" w:rsidR="00F72067" w:rsidRDefault="00F72067" w:rsidP="00C077C0">
      <w:r>
        <w:t xml:space="preserve">Thanks are due to the many landowners who gave permission for the site visits and to the members of the </w:t>
      </w:r>
      <w:r w:rsidRPr="00D47F21">
        <w:t xml:space="preserve">Bunce Woodland Survey Steering Group and others, including Matt Heard, Clare Trivedi, Chris Tucker, Jay Doyle, </w:t>
      </w:r>
      <w:r>
        <w:t xml:space="preserve">Christine Reid, </w:t>
      </w:r>
      <w:r w:rsidRPr="00D47F21">
        <w:t>Richard Thompson, Jeanette Hall, Rebecca Isted, Siobhan Rogers</w:t>
      </w:r>
      <w:r>
        <w:t>, Emma Dear, David Jam,</w:t>
      </w:r>
      <w:r w:rsidRPr="00D47F21">
        <w:t xml:space="preserve"> and Malcolm Vallis</w:t>
      </w:r>
      <w:r>
        <w:t>-</w:t>
      </w:r>
      <w:r w:rsidRPr="00D47F21">
        <w:t>Wilks. Finally</w:t>
      </w:r>
      <w:r>
        <w:t xml:space="preserve"> we gratefully acknowledge the</w:t>
      </w:r>
      <w:r w:rsidRPr="00D47F21">
        <w:t xml:space="preserve"> late Prof Bob Bunce</w:t>
      </w:r>
      <w:r>
        <w:t xml:space="preserve"> for initiating the survey back in 1971.</w:t>
      </w:r>
    </w:p>
    <w:p w14:paraId="6254F246" w14:textId="77777777" w:rsidR="00F72067" w:rsidRDefault="00F72067" w:rsidP="00C077C0">
      <w:pPr>
        <w:pStyle w:val="Heading1"/>
      </w:pPr>
      <w:r>
        <w:t>References</w:t>
      </w:r>
    </w:p>
    <w:p w14:paraId="6FDF5173" w14:textId="77777777" w:rsidR="00F72067" w:rsidRPr="005D554A" w:rsidRDefault="00F72067" w:rsidP="00AC7F7F">
      <w:pPr>
        <w:pStyle w:val="EndNoteBibliography"/>
        <w:spacing w:line="360" w:lineRule="auto"/>
      </w:pPr>
      <w:r w:rsidRPr="005D554A">
        <w:t>Avery, B. W. and Bascomb, C. L.: Soil survey laboratory methods, Rothamsted Experimental Station, Harpenden (UK), 1974.</w:t>
      </w:r>
    </w:p>
    <w:p w14:paraId="6544A9CD" w14:textId="77777777" w:rsidR="00F72067" w:rsidRPr="005D554A" w:rsidRDefault="00F72067" w:rsidP="00AC7F7F">
      <w:pPr>
        <w:pStyle w:val="EndNoteBibliography"/>
        <w:spacing w:line="360" w:lineRule="auto"/>
      </w:pPr>
      <w:r w:rsidRPr="005D554A">
        <w:t>Bain, C.: Native Pinewoods in Scotland: A Review 1957-1987, Royal Society for the Protection of Birds, Edinburgh, 1987.</w:t>
      </w:r>
    </w:p>
    <w:p w14:paraId="16331596" w14:textId="77777777" w:rsidR="00F72067" w:rsidRPr="005D554A" w:rsidRDefault="00F72067" w:rsidP="00AC7F7F">
      <w:pPr>
        <w:pStyle w:val="EndNoteBibliography"/>
        <w:spacing w:line="360" w:lineRule="auto"/>
      </w:pPr>
      <w:r w:rsidRPr="005D554A">
        <w:t>Bain, C.: The Ancient Pinewoods of Scotland Sandstone Press Ltd, Dingwall, 2013.</w:t>
      </w:r>
    </w:p>
    <w:p w14:paraId="40CFD57D" w14:textId="77777777" w:rsidR="00F72067" w:rsidRPr="005D554A" w:rsidRDefault="00F72067" w:rsidP="00AC7F7F">
      <w:pPr>
        <w:pStyle w:val="EndNoteBibliography"/>
        <w:spacing w:line="360" w:lineRule="auto"/>
      </w:pPr>
      <w:r w:rsidRPr="005D554A">
        <w:t xml:space="preserve">Baines, D., Sage, R. B., and Baines, M. M.: The Implications of Red Deer Grazing to Ground Vegetation and Invertebrate Communities of Scottish Native Pinewoods, Journal of Applied Ecology, 31, 776-783, </w:t>
      </w:r>
      <w:r w:rsidRPr="00F72067">
        <w:rPr>
          <w:rFonts w:eastAsiaTheme="majorEastAsia"/>
        </w:rPr>
        <w:t>https://doi.org/10.2307/2404167</w:t>
      </w:r>
      <w:r w:rsidRPr="005D554A">
        <w:t>, 1994.</w:t>
      </w:r>
    </w:p>
    <w:p w14:paraId="003DE685" w14:textId="77777777" w:rsidR="00F72067" w:rsidRPr="005D554A" w:rsidRDefault="00F72067" w:rsidP="00AC7F7F">
      <w:pPr>
        <w:pStyle w:val="EndNoteBibliography"/>
        <w:spacing w:line="360" w:lineRule="auto"/>
      </w:pPr>
      <w:r w:rsidRPr="005D554A">
        <w:t>BAP: Biodiversity:  the UK Action Plan, London, 1994.</w:t>
      </w:r>
    </w:p>
    <w:p w14:paraId="61C12214" w14:textId="77777777" w:rsidR="00F72067" w:rsidRPr="005D554A" w:rsidRDefault="00F72067" w:rsidP="00AC7F7F">
      <w:pPr>
        <w:pStyle w:val="EndNoteBibliography"/>
        <w:spacing w:line="360" w:lineRule="auto"/>
      </w:pPr>
      <w:r w:rsidRPr="005D554A">
        <w:t>Bruce, M. and Servant, G.: Fire and pinewood ecology in Scotland: a summary of recent research at Glen Tanar Estate, Aberdeenshire, Scottish Forestry, 57, 33-38, 2003.</w:t>
      </w:r>
    </w:p>
    <w:p w14:paraId="49454816" w14:textId="77777777" w:rsidR="00F72067" w:rsidRPr="005D554A" w:rsidRDefault="00F72067" w:rsidP="00AC7F7F">
      <w:pPr>
        <w:pStyle w:val="EndNoteBibliography"/>
        <w:spacing w:line="360" w:lineRule="auto"/>
      </w:pPr>
      <w:r w:rsidRPr="005D554A">
        <w:t xml:space="preserve">Bulman, L. S., Dick, M. A., Ganley, R. J., McDougal, R. L., Schwelm, A., and Bradshaw, R. E.: Dothistroma needle blight, in: Infectious forest diseases, CABI Wallingford UK, 436-457, </w:t>
      </w:r>
      <w:r w:rsidRPr="00F72067">
        <w:rPr>
          <w:rFonts w:eastAsiaTheme="majorEastAsia"/>
        </w:rPr>
        <w:t>https://doi.org/10.1079/9781780640402.0436</w:t>
      </w:r>
      <w:r w:rsidRPr="005D554A">
        <w:t>, 2013.</w:t>
      </w:r>
    </w:p>
    <w:p w14:paraId="01EB4EA9" w14:textId="77777777" w:rsidR="00F72067" w:rsidRPr="005D554A" w:rsidRDefault="00F72067" w:rsidP="00AC7F7F">
      <w:pPr>
        <w:pStyle w:val="EndNoteBibliography"/>
        <w:spacing w:line="360" w:lineRule="auto"/>
      </w:pPr>
      <w:r w:rsidRPr="005D554A">
        <w:t xml:space="preserve">Bunce, R. G. H., Wood, C. M., Smart, S. M., Oakley, R., Browning, G., Daniels, M. J., Ashmole, P., Cresswell, J., and Holl, K.: The landscape ecological impact of afforestation on the British uplands and some initiatives to restore native woodland cover, Journal of Landscape Ecology, 7, 5-24, </w:t>
      </w:r>
      <w:r w:rsidRPr="00F72067">
        <w:rPr>
          <w:rFonts w:eastAsiaTheme="majorEastAsia"/>
          <w:u w:val="single"/>
        </w:rPr>
        <w:t>https://doi.org/10.2478/jlecol-2014-0013</w:t>
      </w:r>
      <w:r w:rsidRPr="005D554A">
        <w:t>, 2014.</w:t>
      </w:r>
    </w:p>
    <w:p w14:paraId="3B3554A1" w14:textId="77777777" w:rsidR="00F72067" w:rsidRPr="005D554A" w:rsidRDefault="00F72067" w:rsidP="00AC7F7F">
      <w:pPr>
        <w:pStyle w:val="EndNoteBibliography"/>
        <w:spacing w:line="360" w:lineRule="auto"/>
      </w:pPr>
      <w:r w:rsidRPr="005D554A">
        <w:t xml:space="preserve">Cameron, A. D., Miller, D. R., Ramsay, F., Nikolaou, I., and Clarke, G. C.: Temporal measurement of the loss of native pinewood in Scotland through the analysis of orthorectified aerial photographs, Journal of Environmental Management, 58, 33-43, </w:t>
      </w:r>
      <w:r w:rsidRPr="00F72067">
        <w:rPr>
          <w:rFonts w:eastAsiaTheme="majorEastAsia"/>
        </w:rPr>
        <w:t>https://doi.org/10.1006/jema.1999.0306</w:t>
      </w:r>
      <w:r w:rsidRPr="005D554A">
        <w:t>, 2000.</w:t>
      </w:r>
    </w:p>
    <w:p w14:paraId="07FC76EA" w14:textId="77777777" w:rsidR="00F72067" w:rsidRPr="005D554A" w:rsidRDefault="00F72067" w:rsidP="00AC7F7F">
      <w:pPr>
        <w:pStyle w:val="EndNoteBibliography"/>
        <w:spacing w:line="360" w:lineRule="auto"/>
      </w:pPr>
      <w:r w:rsidRPr="005D554A">
        <w:t>Cameron, E. J. F.: The regeneration of existing pinewoods, Our pinewood heritage. Proc. conference, Inverness, 1994, 155-164, 1995.</w:t>
      </w:r>
    </w:p>
    <w:p w14:paraId="7B6AB1FE" w14:textId="77777777" w:rsidR="00F72067" w:rsidRPr="005D554A" w:rsidRDefault="00F72067" w:rsidP="00AC7F7F">
      <w:pPr>
        <w:pStyle w:val="EndNoteBibliography"/>
        <w:spacing w:line="360" w:lineRule="auto"/>
      </w:pPr>
      <w:r w:rsidRPr="005D554A">
        <w:t xml:space="preserve">Carey, P. D., Wallis, S., Chamberlain, P. M., Cooper, A., Emmett, B. A., Maskell, L. C., McCann, T., Murphy, J., Norton, L. R., Reynolds, B., Scott, W. A., Simpson, I. C., Smart, S. M., and Ullyett, J. M.: Countryside Survey: UK Results from 2007, NERC/Centre for Ecology &amp; Hydrology, Lancaster, </w:t>
      </w:r>
      <w:r w:rsidRPr="00F72067">
        <w:rPr>
          <w:rFonts w:eastAsiaTheme="majorEastAsia"/>
        </w:rPr>
        <w:t>http://www.countrysidesurvey.org.uk/outputs/uk-results-2007</w:t>
      </w:r>
      <w:r w:rsidRPr="005D554A">
        <w:t>, 2008.</w:t>
      </w:r>
    </w:p>
    <w:p w14:paraId="473B45F3" w14:textId="77777777" w:rsidR="00F72067" w:rsidRPr="005D554A" w:rsidRDefault="00F72067" w:rsidP="00AC7F7F">
      <w:pPr>
        <w:pStyle w:val="EndNoteBibliography"/>
        <w:spacing w:line="360" w:lineRule="auto"/>
      </w:pPr>
      <w:r w:rsidRPr="005D554A">
        <w:t xml:space="preserve">Carvalheiro, L. G., Kunin, W. E., Keil, P., Aguirre-Gutiérrez, J., Ellis, W. N., Fox, R., Groom, Q., Hennekens, S., Van Landuyt, W., Maes, D., Van de Meutter, F., Michez, D., Rasmont, P., Ode, B., Potts, S. G., Reemer, M., Roberts, S. P. M., Schaminée, </w:t>
      </w:r>
      <w:r w:rsidRPr="005D554A">
        <w:lastRenderedPageBreak/>
        <w:t xml:space="preserve">J., WallisDeVries, M. F., and Biesmeijer, J. C.: Species richness declines and biotic homogenisation have slowed down for NW-European pollinators and plants, Ecology Letters, 16, 870-878, </w:t>
      </w:r>
      <w:r w:rsidRPr="00F72067">
        <w:rPr>
          <w:rFonts w:eastAsiaTheme="majorEastAsia"/>
        </w:rPr>
        <w:t>https://doi.org/10.1111/ele.12121</w:t>
      </w:r>
      <w:r w:rsidRPr="005D554A">
        <w:t>, 2013.</w:t>
      </w:r>
    </w:p>
    <w:p w14:paraId="47F74BAD" w14:textId="77777777" w:rsidR="00F72067" w:rsidRPr="005D554A" w:rsidRDefault="00F72067" w:rsidP="00AC7F7F">
      <w:pPr>
        <w:pStyle w:val="EndNoteBibliography"/>
        <w:spacing w:line="360" w:lineRule="auto"/>
      </w:pPr>
      <w:r w:rsidRPr="005D554A">
        <w:t xml:space="preserve">Emmett, B., Frogbrook, Z., Chamberlain, P., Griffiths, R., Pickup, R., Poskitt, J., Reynolds, B., Rowe, E., Spurgeon, D., and Rowland, P.: CS Technical Report No. 3/07: Soils Manual, Centre for Ecology &amp; Hydrology Wallingford, UK, </w:t>
      </w:r>
      <w:r w:rsidRPr="00F72067">
        <w:rPr>
          <w:rFonts w:eastAsiaTheme="majorEastAsia"/>
        </w:rPr>
        <w:t>http://nora.nerc.ac.uk/id/eprint/5201/1/CS_UK_2007_TR3%5B1%5D.pdf</w:t>
      </w:r>
      <w:r w:rsidRPr="005D554A">
        <w:t>, 2008.</w:t>
      </w:r>
    </w:p>
    <w:p w14:paraId="751F01DD" w14:textId="77777777" w:rsidR="00F72067" w:rsidRPr="005D554A" w:rsidRDefault="00F72067" w:rsidP="00AC7F7F">
      <w:pPr>
        <w:pStyle w:val="EndNoteBibliography"/>
        <w:spacing w:line="360" w:lineRule="auto"/>
      </w:pPr>
      <w:r w:rsidRPr="005D554A">
        <w:t xml:space="preserve">ESRI: Survey123, </w:t>
      </w:r>
      <w:r w:rsidRPr="00F72067">
        <w:rPr>
          <w:rFonts w:eastAsiaTheme="majorEastAsia"/>
        </w:rPr>
        <w:t>https://survey123.arcgis.com/</w:t>
      </w:r>
      <w:r w:rsidRPr="005D554A">
        <w:t>, 2025.</w:t>
      </w:r>
    </w:p>
    <w:p w14:paraId="41976935" w14:textId="77777777" w:rsidR="00F72067" w:rsidRPr="005D554A" w:rsidRDefault="00F72067" w:rsidP="00AC7F7F">
      <w:pPr>
        <w:pStyle w:val="EndNoteBibliography"/>
        <w:spacing w:line="360" w:lineRule="auto"/>
      </w:pPr>
      <w:r w:rsidRPr="005D554A">
        <w:t xml:space="preserve">Felling UK: Tree Age Calculator </w:t>
      </w:r>
      <w:r w:rsidRPr="00F72067">
        <w:rPr>
          <w:rFonts w:eastAsiaTheme="majorEastAsia"/>
        </w:rPr>
        <w:t>https://felling.uk/calculator/tree-age</w:t>
      </w:r>
      <w:r w:rsidRPr="005D554A">
        <w:t>, last access: 24/6/2025.</w:t>
      </w:r>
    </w:p>
    <w:p w14:paraId="68ABDBB6" w14:textId="77777777" w:rsidR="00F72067" w:rsidRPr="005D554A" w:rsidRDefault="00F72067" w:rsidP="00AC7F7F">
      <w:pPr>
        <w:pStyle w:val="EndNoteBibliography"/>
        <w:spacing w:line="360" w:lineRule="auto"/>
      </w:pPr>
      <w:r w:rsidRPr="005D554A">
        <w:t xml:space="preserve">Ford, H., Healey, J. R., Markesteijn, L., and Smith, A. R.: How does grazing management influence the functional diversity of oak woodland ecosystems? A plant trait approach, Agriculture, Ecosystems &amp; Environment, 258, 154-161, </w:t>
      </w:r>
      <w:r w:rsidRPr="00F72067">
        <w:rPr>
          <w:rFonts w:eastAsiaTheme="majorEastAsia"/>
        </w:rPr>
        <w:t>https://doi.org/10.1016/j.agee.2018.02.025</w:t>
      </w:r>
      <w:r w:rsidRPr="005D554A">
        <w:t>, 2018.</w:t>
      </w:r>
    </w:p>
    <w:p w14:paraId="2418BD92" w14:textId="77777777" w:rsidR="00F72067" w:rsidRPr="005D554A" w:rsidRDefault="00F72067" w:rsidP="00AC7F7F">
      <w:pPr>
        <w:pStyle w:val="EndNoteBibliography"/>
        <w:spacing w:line="360" w:lineRule="auto"/>
      </w:pPr>
      <w:r w:rsidRPr="005D554A">
        <w:t>Forestry Commission: Caledonian pinewood inventory, Forestry Commission, 1994.</w:t>
      </w:r>
    </w:p>
    <w:p w14:paraId="642D4575" w14:textId="77777777" w:rsidR="00F72067" w:rsidRPr="005D554A" w:rsidRDefault="00F72067" w:rsidP="00AC7F7F">
      <w:pPr>
        <w:pStyle w:val="EndNoteBibliography"/>
        <w:spacing w:line="360" w:lineRule="auto"/>
      </w:pPr>
      <w:r w:rsidRPr="005D554A">
        <w:t xml:space="preserve">Froyd, C. A. and Bennett, K. D.: Long-term ecology of native pinewood communities in East Glen Affric, Scotland, Forestry, 79, 279-291, </w:t>
      </w:r>
      <w:r w:rsidRPr="00F72067">
        <w:rPr>
          <w:rFonts w:eastAsiaTheme="majorEastAsia"/>
        </w:rPr>
        <w:t>https://doi.org/10.1093/forestry/cpl015</w:t>
      </w:r>
      <w:r w:rsidRPr="005D554A">
        <w:t>, 2006.</w:t>
      </w:r>
    </w:p>
    <w:p w14:paraId="37CE74EB" w14:textId="77777777" w:rsidR="00F72067" w:rsidRPr="005D554A" w:rsidRDefault="00F72067" w:rsidP="00AC7F7F">
      <w:pPr>
        <w:pStyle w:val="EndNoteBibliography"/>
        <w:spacing w:line="360" w:lineRule="auto"/>
      </w:pPr>
      <w:r w:rsidRPr="005D554A">
        <w:t xml:space="preserve">Gill, R. M. A. and Morgan, G.: The effects of varying deer density on natural regeneration in woodlands in lowland Britain, Forestry: An International Journal of Forest Research, 83, 53-63, </w:t>
      </w:r>
      <w:r w:rsidRPr="00F72067">
        <w:rPr>
          <w:rFonts w:eastAsiaTheme="majorEastAsia"/>
        </w:rPr>
        <w:t>https://doi.org/10.1093/forestry/cpp031</w:t>
      </w:r>
      <w:r w:rsidRPr="005D554A">
        <w:t>, 2009.</w:t>
      </w:r>
    </w:p>
    <w:p w14:paraId="066825EE" w14:textId="77777777" w:rsidR="00F72067" w:rsidRPr="005D554A" w:rsidRDefault="00F72067" w:rsidP="00AC7F7F">
      <w:pPr>
        <w:pStyle w:val="EndNoteBibliography"/>
        <w:spacing w:line="360" w:lineRule="auto"/>
      </w:pPr>
      <w:r w:rsidRPr="005D554A">
        <w:t xml:space="preserve">Gougherty, A. V.: </w:t>
      </w:r>
      <w:r w:rsidRPr="005D554A">
        <w:rPr>
          <w:rFonts w:ascii="Tahoma" w:hAnsi="Tahoma" w:cs="Tahoma"/>
        </w:rPr>
        <w:t>﻿</w:t>
      </w:r>
      <w:r w:rsidRPr="005D554A">
        <w:t xml:space="preserve">Emerging tree diseases are accumulating rapidly in the native and non-native ranges of Holarctic trees, NeoBiota, 87, </w:t>
      </w:r>
      <w:r w:rsidRPr="00F72067">
        <w:rPr>
          <w:rFonts w:eastAsiaTheme="majorEastAsia"/>
        </w:rPr>
        <w:t>https://doi.org/10.3897/neobiota.87.103525</w:t>
      </w:r>
      <w:r w:rsidRPr="005D554A">
        <w:t>, 2023.</w:t>
      </w:r>
    </w:p>
    <w:p w14:paraId="6483C4AB" w14:textId="77777777" w:rsidR="00F72067" w:rsidRPr="005D554A" w:rsidRDefault="00F72067" w:rsidP="00AC7F7F">
      <w:pPr>
        <w:pStyle w:val="EndNoteBibliography"/>
        <w:spacing w:line="360" w:lineRule="auto"/>
      </w:pPr>
      <w:r w:rsidRPr="005D554A">
        <w:t>Holloway, C. W.: The effect of red deer and other animals on naturally regenerated Scots pine, University of Aberdeen (United Kingdom), 1967.</w:t>
      </w:r>
    </w:p>
    <w:p w14:paraId="2E1CD094" w14:textId="77777777" w:rsidR="00F72067" w:rsidRPr="005D554A" w:rsidRDefault="00F72067" w:rsidP="00AC7F7F">
      <w:pPr>
        <w:pStyle w:val="EndNoteBibliography"/>
        <w:spacing w:line="360" w:lineRule="auto"/>
      </w:pPr>
      <w:r w:rsidRPr="005D554A">
        <w:t xml:space="preserve">Kirby, K. J.: The impact of deer on the ground flora of British broadleaved woodland, Forestry: An International Journal of Forest Research, 74, 219-229, </w:t>
      </w:r>
      <w:r w:rsidRPr="00F72067">
        <w:rPr>
          <w:rFonts w:eastAsiaTheme="majorEastAsia"/>
        </w:rPr>
        <w:t>https://doi.org/10.1093/forestry/74.3.219</w:t>
      </w:r>
      <w:r w:rsidRPr="005D554A">
        <w:t>, 2001.</w:t>
      </w:r>
    </w:p>
    <w:p w14:paraId="227A8C4B" w14:textId="77777777" w:rsidR="00F72067" w:rsidRPr="005D554A" w:rsidRDefault="00F72067" w:rsidP="00AC7F7F">
      <w:pPr>
        <w:pStyle w:val="EndNoteBibliography"/>
        <w:spacing w:line="360" w:lineRule="auto"/>
      </w:pPr>
      <w:r w:rsidRPr="005D554A">
        <w:t xml:space="preserve">Kirby, K. J., Smart, S. M., Black, H. I. J., Bunce, R. G. H., Corney, P. M., and Smithers, R. J.: Long term ecological change in British woodland (1971-2001). A re-survey and analysis of change based on the 103 sites in the Nature Conservancy 'Bunce 1971' woodland survey. Final report, Peterborough: English Nature. (English Nature Research Reports Number 653), Peterborough, 139 + appendices, </w:t>
      </w:r>
      <w:r w:rsidRPr="00F72067">
        <w:rPr>
          <w:rFonts w:eastAsiaTheme="majorEastAsia"/>
        </w:rPr>
        <w:t>http://www.nmw.ac.uk/cehstaff/Library/cr/C02026/0507024.pdf</w:t>
      </w:r>
      <w:r w:rsidRPr="005D554A">
        <w:t>, 2005.</w:t>
      </w:r>
    </w:p>
    <w:p w14:paraId="5264DA82" w14:textId="77777777" w:rsidR="00F72067" w:rsidRPr="005D554A" w:rsidRDefault="00F72067" w:rsidP="00AC7F7F">
      <w:pPr>
        <w:pStyle w:val="EndNoteBibliography"/>
        <w:spacing w:line="360" w:lineRule="auto"/>
      </w:pPr>
      <w:r w:rsidRPr="005D554A">
        <w:t xml:space="preserve">Kirk, G. J. D., Bellamy, P. H., and Lark, R. M.: Changes in soil pH across England and Wales in response to decreased acid deposition, Global Change Biology, 16, 3111-3119, </w:t>
      </w:r>
      <w:r w:rsidRPr="00F72067">
        <w:rPr>
          <w:rFonts w:eastAsiaTheme="majorEastAsia"/>
        </w:rPr>
        <w:t>https://doi.org/10.1111/j.1365-2486.2009.02135.x</w:t>
      </w:r>
      <w:r w:rsidRPr="005D554A">
        <w:t>, 2010.</w:t>
      </w:r>
    </w:p>
    <w:p w14:paraId="021F8F16" w14:textId="77777777" w:rsidR="00F72067" w:rsidRPr="005D554A" w:rsidRDefault="00F72067" w:rsidP="00AC7F7F">
      <w:pPr>
        <w:pStyle w:val="EndNoteBibliography"/>
        <w:spacing w:line="360" w:lineRule="auto"/>
      </w:pPr>
      <w:r w:rsidRPr="005D554A">
        <w:t xml:space="preserve">Kunin, W. E., Harte, J., He, F., Hui, C., Jobe, R. T., Ostling, A., Polce, C., Šizling, A., Smith, A. B., Smith, K., Smart, S. M., Storch, D., Tjørve, E., Ugland, K.-I., Ulrich, W., and Varma, V.: Upscaling biodiversity: estimating the species–area relationship from small samples, Ecological Monographs, 88, 170-187, </w:t>
      </w:r>
      <w:r w:rsidRPr="00F72067">
        <w:rPr>
          <w:rFonts w:eastAsiaTheme="majorEastAsia"/>
        </w:rPr>
        <w:t>https://doi.org/10.1002/ecm.1284</w:t>
      </w:r>
      <w:r w:rsidRPr="005D554A">
        <w:t>, 2018.</w:t>
      </w:r>
    </w:p>
    <w:p w14:paraId="0FC0FB03" w14:textId="77777777" w:rsidR="00F72067" w:rsidRPr="005D554A" w:rsidRDefault="00F72067" w:rsidP="00AC7F7F">
      <w:pPr>
        <w:pStyle w:val="EndNoteBibliography"/>
        <w:spacing w:line="360" w:lineRule="auto"/>
      </w:pPr>
      <w:r w:rsidRPr="005D554A">
        <w:t xml:space="preserve">Maddock, A.: UK Biodiversity Action Plan; Priority Habitat Descriptions, Published online, </w:t>
      </w:r>
      <w:r w:rsidRPr="00F72067">
        <w:rPr>
          <w:rFonts w:eastAsiaTheme="majorEastAsia"/>
        </w:rPr>
        <w:t>http://jncc.defra.gov.uk/PDF/UKBAP_PriorityHabitatDesc-Rev2011.pdf</w:t>
      </w:r>
      <w:r w:rsidRPr="005D554A">
        <w:t xml:space="preserve">, </w:t>
      </w:r>
      <w:r w:rsidRPr="00F72067">
        <w:rPr>
          <w:rFonts w:eastAsiaTheme="majorEastAsia"/>
        </w:rPr>
        <w:t>http://jncc.defra.gov.uk/PDF/UKBAP_PriorityHabitatDesc-Rev2011.pdf</w:t>
      </w:r>
      <w:r w:rsidRPr="005D554A">
        <w:t>, 2008.</w:t>
      </w:r>
    </w:p>
    <w:p w14:paraId="796A6886" w14:textId="77777777" w:rsidR="00F72067" w:rsidRPr="005D554A" w:rsidRDefault="00F72067" w:rsidP="00AC7F7F">
      <w:pPr>
        <w:pStyle w:val="EndNoteBibliography"/>
        <w:spacing w:line="360" w:lineRule="auto"/>
      </w:pPr>
      <w:r w:rsidRPr="005D554A">
        <w:t xml:space="preserve">Marrs, R. H., Kirby, K. J., Le Duc, M. G., McAllister, H., Smart, S. M., Oksanen, J., Bunce, R. G. H., and Corney, P. M.: Native dominants in British woodland – a potential cause of reduced species-richness?, New Journal of Botany, 3, 156-168, </w:t>
      </w:r>
      <w:r w:rsidRPr="00F72067">
        <w:rPr>
          <w:rFonts w:eastAsiaTheme="majorEastAsia"/>
        </w:rPr>
        <w:t>https://doi.org/10.1179/2042349713Y.0000000028</w:t>
      </w:r>
      <w:r w:rsidRPr="005D554A">
        <w:t>, 2013.</w:t>
      </w:r>
    </w:p>
    <w:p w14:paraId="0238C3A3" w14:textId="77777777" w:rsidR="00F72067" w:rsidRPr="005D554A" w:rsidRDefault="00F72067" w:rsidP="00AC7F7F">
      <w:pPr>
        <w:pStyle w:val="EndNoteBibliography"/>
        <w:spacing w:line="360" w:lineRule="auto"/>
      </w:pPr>
      <w:r w:rsidRPr="005D554A">
        <w:t xml:space="preserve">Marzano, M., Fuller, L., and Quine, C. P.: Barriers to management of tree diseases: Framing perspectives of pinewood managers around Dothistroma Needle Blight, Journal of Environmental Management, 188, 238-245, </w:t>
      </w:r>
      <w:r w:rsidRPr="00F72067">
        <w:rPr>
          <w:rFonts w:eastAsiaTheme="majorEastAsia"/>
        </w:rPr>
        <w:t>https://doi.org/10.1016/j.jenvman.2016.12.002</w:t>
      </w:r>
      <w:r w:rsidRPr="005D554A">
        <w:t>, 2017.</w:t>
      </w:r>
    </w:p>
    <w:p w14:paraId="56B5E781" w14:textId="77777777" w:rsidR="00F72067" w:rsidRPr="005D554A" w:rsidRDefault="00F72067" w:rsidP="00AC7F7F">
      <w:pPr>
        <w:pStyle w:val="EndNoteBibliography"/>
        <w:spacing w:line="360" w:lineRule="auto"/>
      </w:pPr>
      <w:r w:rsidRPr="005D554A">
        <w:t xml:space="preserve">Maskell, L. C., Smart, S. M., Bullock, J. M., Thompson, K., and Stevens, C. J.: Nitrogen deposition causes widespread loss of species richness in British habitats, Global Change Biology, 16, 671-679, </w:t>
      </w:r>
      <w:r w:rsidRPr="00F72067">
        <w:rPr>
          <w:rFonts w:eastAsiaTheme="majorEastAsia"/>
        </w:rPr>
        <w:t>https://doi.org/10.1111/j.1365-2486.2009.02022.x</w:t>
      </w:r>
      <w:r w:rsidRPr="005D554A">
        <w:t>, 2010.</w:t>
      </w:r>
    </w:p>
    <w:p w14:paraId="1B7F2EE9" w14:textId="77777777" w:rsidR="00F72067" w:rsidRPr="005D554A" w:rsidRDefault="00F72067" w:rsidP="00AC7F7F">
      <w:pPr>
        <w:pStyle w:val="EndNoteBibliography"/>
        <w:spacing w:line="360" w:lineRule="auto"/>
      </w:pPr>
      <w:r w:rsidRPr="005D554A">
        <w:t>McVean, D. N.: Ecology of Scots Pine in the Scottish Highlands, J. Ecol., 51, 671-686, 10.2307/2257754, 1963.</w:t>
      </w:r>
    </w:p>
    <w:p w14:paraId="79377277" w14:textId="77777777" w:rsidR="00F72067" w:rsidRPr="005D554A" w:rsidRDefault="00F72067" w:rsidP="00AC7F7F">
      <w:pPr>
        <w:pStyle w:val="EndNoteBibliography"/>
        <w:spacing w:line="360" w:lineRule="auto"/>
      </w:pPr>
      <w:r w:rsidRPr="005D554A">
        <w:t xml:space="preserve">Met Office: Past weather events: </w:t>
      </w:r>
      <w:r w:rsidRPr="00F72067">
        <w:rPr>
          <w:rFonts w:eastAsiaTheme="majorEastAsia"/>
        </w:rPr>
        <w:t>https://weather.metoffice.gov.uk/learn-about/past-uk-weather-events</w:t>
      </w:r>
      <w:r w:rsidRPr="005D554A">
        <w:t>, last access: 24/06/2025.</w:t>
      </w:r>
    </w:p>
    <w:p w14:paraId="5F2F268E" w14:textId="77777777" w:rsidR="00F72067" w:rsidRPr="005D554A" w:rsidRDefault="00F72067" w:rsidP="00AC7F7F">
      <w:pPr>
        <w:pStyle w:val="EndNoteBibliography"/>
        <w:spacing w:line="360" w:lineRule="auto"/>
      </w:pPr>
      <w:r w:rsidRPr="005D554A">
        <w:lastRenderedPageBreak/>
        <w:t xml:space="preserve">Met Office: UK temperature, rainfall and sunshine time series: </w:t>
      </w:r>
      <w:r w:rsidRPr="00F72067">
        <w:rPr>
          <w:rFonts w:eastAsiaTheme="majorEastAsia"/>
        </w:rPr>
        <w:t>https://www.metoffice.gov.uk/research/climate/maps-and-data/uk-temperature-rainfall-and-sunshine-time-series</w:t>
      </w:r>
      <w:r w:rsidRPr="005D554A">
        <w:t>, last access: 25/3/2015.</w:t>
      </w:r>
    </w:p>
    <w:p w14:paraId="2EE70202" w14:textId="77777777" w:rsidR="00F72067" w:rsidRPr="005D554A" w:rsidRDefault="00F72067" w:rsidP="00AC7F7F">
      <w:pPr>
        <w:pStyle w:val="EndNoteBibliography"/>
        <w:spacing w:line="360" w:lineRule="auto"/>
      </w:pPr>
      <w:r w:rsidRPr="005D554A">
        <w:t xml:space="preserve">Met Office, H., D.; Carlisle, E.; Kendon, M.; Packman, S.; Doherty, A.: HadUK-Grid Gridded Climate Observations on a 1km grid over the UK, v1.3.0.ceda (1836-2023), NERC EDS Centre for Environmental Data Analysis [dataset], </w:t>
      </w:r>
      <w:r w:rsidRPr="00F72067">
        <w:rPr>
          <w:rFonts w:eastAsiaTheme="majorEastAsia"/>
        </w:rPr>
        <w:t>https://dx.doi.org/10.5285/b963ead70580451aa7455782224479d5</w:t>
      </w:r>
      <w:r w:rsidRPr="005D554A">
        <w:t>, 2024.</w:t>
      </w:r>
    </w:p>
    <w:p w14:paraId="6F44DA32" w14:textId="77777777" w:rsidR="00F72067" w:rsidRPr="005D554A" w:rsidRDefault="00F72067" w:rsidP="00AC7F7F">
      <w:pPr>
        <w:pStyle w:val="EndNoteBibliography"/>
        <w:spacing w:line="360" w:lineRule="auto"/>
      </w:pPr>
      <w:r w:rsidRPr="005D554A">
        <w:t>Miles, J. and Kinnaird, J.: The establishment and regeneration of Birch, Juniper and Scots pine in the Scottish highlands, 1979.</w:t>
      </w:r>
    </w:p>
    <w:p w14:paraId="3F739757" w14:textId="77777777" w:rsidR="00F72067" w:rsidRPr="005D554A" w:rsidRDefault="00F72067" w:rsidP="00AC7F7F">
      <w:pPr>
        <w:pStyle w:val="EndNoteBibliography"/>
        <w:spacing w:line="360" w:lineRule="auto"/>
      </w:pPr>
      <w:r w:rsidRPr="005D554A">
        <w:t xml:space="preserve">NatureScot: Scottish Biodiversity List: </w:t>
      </w:r>
      <w:r w:rsidRPr="00F72067">
        <w:rPr>
          <w:rFonts w:eastAsiaTheme="majorEastAsia"/>
        </w:rPr>
        <w:t>https://www.nature.scot/scotlands-biodiversity/scottish-biodiversity-strategy-and-cop15/scottish-biodiversity-list</w:t>
      </w:r>
      <w:r w:rsidRPr="005D554A">
        <w:t xml:space="preserve"> last access: 11/7/24.</w:t>
      </w:r>
    </w:p>
    <w:p w14:paraId="5081C317" w14:textId="77777777" w:rsidR="00F72067" w:rsidRPr="005D554A" w:rsidRDefault="00F72067" w:rsidP="00AC7F7F">
      <w:pPr>
        <w:pStyle w:val="EndNoteBibliography"/>
        <w:spacing w:line="360" w:lineRule="auto"/>
      </w:pPr>
      <w:r w:rsidRPr="005D554A">
        <w:t xml:space="preserve">Palmer, S. C. F. and Truscott, A. M.: Browsing by deer on naturally regenerating Scots pine (Pinus sylvestris L.) and its effects on sapling growth, Forest Ecology and Management, 182, 31-47, </w:t>
      </w:r>
      <w:r w:rsidRPr="00F72067">
        <w:rPr>
          <w:rFonts w:eastAsiaTheme="majorEastAsia"/>
        </w:rPr>
        <w:t>https://doi.org/10.1016/S0378-1127(03)00026-4</w:t>
      </w:r>
      <w:r w:rsidRPr="005D554A">
        <w:t>, 2003.</w:t>
      </w:r>
    </w:p>
    <w:p w14:paraId="1D262512" w14:textId="77777777" w:rsidR="00F72067" w:rsidRPr="005D554A" w:rsidRDefault="00F72067" w:rsidP="00AC7F7F">
      <w:pPr>
        <w:pStyle w:val="EndNoteBibliography"/>
        <w:spacing w:line="360" w:lineRule="auto"/>
      </w:pPr>
      <w:r w:rsidRPr="005D554A">
        <w:t xml:space="preserve">Palmer, S. C. F., Broadhead, J. E., Ross, I., and Smith, D. E.: Long-term habitat use and browsing by deer in a Caledonian pinewood, Forest Ecology and Management, 242, 273-280, </w:t>
      </w:r>
      <w:r w:rsidRPr="00F72067">
        <w:rPr>
          <w:rFonts w:eastAsiaTheme="majorEastAsia"/>
        </w:rPr>
        <w:t>https://doi.org/10.1016/j.foreco.2007.01.061</w:t>
      </w:r>
      <w:r w:rsidRPr="005D554A">
        <w:t>, 2007.</w:t>
      </w:r>
    </w:p>
    <w:p w14:paraId="5B68E39A" w14:textId="77777777" w:rsidR="00F72067" w:rsidRPr="005D554A" w:rsidRDefault="00F72067" w:rsidP="00AC7F7F">
      <w:pPr>
        <w:pStyle w:val="EndNoteBibliography"/>
        <w:spacing w:line="360" w:lineRule="auto"/>
      </w:pPr>
      <w:r w:rsidRPr="005D554A">
        <w:t>Patterson, G., Nelson, D., Robertson, P., and Tullis, J.: Scotland's Native Woodlands: Results from the Native Woodland Survey of Scotland, Forestry Commission, Edinburgh, 2014.</w:t>
      </w:r>
    </w:p>
    <w:p w14:paraId="61F07065" w14:textId="77777777" w:rsidR="00F72067" w:rsidRPr="005D554A" w:rsidRDefault="00F72067" w:rsidP="00AC7F7F">
      <w:pPr>
        <w:pStyle w:val="EndNoteBibliography"/>
        <w:spacing w:line="360" w:lineRule="auto"/>
      </w:pPr>
      <w:r w:rsidRPr="005D554A">
        <w:t xml:space="preserve">Peterken, G. F. and Francis, J. L.: Open spaces as habitats for vascular ground flora species in the woods of central Lincolnshire, UK, Biological Conservation, 91, 55-72, </w:t>
      </w:r>
      <w:r w:rsidRPr="00F72067">
        <w:rPr>
          <w:rFonts w:eastAsiaTheme="majorEastAsia"/>
        </w:rPr>
        <w:t>https://doi.org/10.1016/S0006-3207(99)00040-3</w:t>
      </w:r>
      <w:r w:rsidRPr="005D554A">
        <w:t>, 1999.</w:t>
      </w:r>
    </w:p>
    <w:p w14:paraId="6014D0A5" w14:textId="77777777" w:rsidR="00F72067" w:rsidRPr="005D554A" w:rsidRDefault="00F72067" w:rsidP="00AC7F7F">
      <w:pPr>
        <w:pStyle w:val="EndNoteBibliography"/>
        <w:spacing w:line="360" w:lineRule="auto"/>
      </w:pPr>
      <w:r w:rsidRPr="005D554A">
        <w:t>Rainey, J. and Holmes, F.: Caledonian Pinewoods Findings from the Caledonian Pinewood Recovery Project, Trees for Life, Forres, Moray, 2023.</w:t>
      </w:r>
    </w:p>
    <w:p w14:paraId="199530BF" w14:textId="77777777" w:rsidR="00F72067" w:rsidRPr="005D554A" w:rsidRDefault="00F72067" w:rsidP="00AC7F7F">
      <w:pPr>
        <w:pStyle w:val="EndNoteBibliography"/>
        <w:spacing w:line="360" w:lineRule="auto"/>
      </w:pPr>
      <w:r w:rsidRPr="005D554A">
        <w:t xml:space="preserve">Reynolds, B., Chamberlain, P., Poskitt, J., Woods, C., Scott, W., Rowe, E., Robinson, D., Frogbrook, Z., Keith, A., and Henrys, P.: Countryside survey: national “soil change” 1978–2007 for topsoils in great britain—acidity, carbon, and total nitrogen status, Vadose Zone Journal, 12, </w:t>
      </w:r>
      <w:r w:rsidRPr="00F72067">
        <w:rPr>
          <w:rFonts w:eastAsiaTheme="majorEastAsia"/>
        </w:rPr>
        <w:t>https://doi.org/10.2136/vzj2012.0114</w:t>
      </w:r>
      <w:r w:rsidRPr="005D554A">
        <w:t>, 2013.</w:t>
      </w:r>
    </w:p>
    <w:p w14:paraId="0B7BCAF5" w14:textId="77777777" w:rsidR="00F72067" w:rsidRPr="005D554A" w:rsidRDefault="00F72067" w:rsidP="00AC7F7F">
      <w:pPr>
        <w:pStyle w:val="EndNoteBibliography"/>
        <w:spacing w:line="360" w:lineRule="auto"/>
      </w:pPr>
      <w:r w:rsidRPr="005D554A">
        <w:t xml:space="preserve">Romão, C.: Interpretation manual of European Union habitats, version EUR 28, </w:t>
      </w:r>
      <w:r w:rsidRPr="00F72067">
        <w:rPr>
          <w:rFonts w:eastAsiaTheme="majorEastAsia"/>
          <w:u w:val="single"/>
        </w:rPr>
        <w:t>https://www.miteco.gob.es/content/dam/miteco/es/biodiversidad/temas/espacios-protegidos/doc_manual_intp_habitat_ue_tcm30-207191.pdf</w:t>
      </w:r>
      <w:r w:rsidRPr="005D554A">
        <w:t>, 2013.</w:t>
      </w:r>
    </w:p>
    <w:p w14:paraId="2725DBFE" w14:textId="77777777" w:rsidR="00F72067" w:rsidRPr="005D554A" w:rsidRDefault="00F72067" w:rsidP="00AC7F7F">
      <w:pPr>
        <w:pStyle w:val="EndNoteBibliography"/>
        <w:spacing w:line="360" w:lineRule="auto"/>
      </w:pPr>
      <w:r w:rsidRPr="005D554A">
        <w:t xml:space="preserve">Scott, D., Welch, D., Thurlow, M., and Elston, D. A.: Regeneration of Pinus sylvestris in a natural pinewood in NE Scotland following reduction in grazing by Cervus elaphus, Forest Ecology and Management, 130, 199-211, </w:t>
      </w:r>
      <w:r w:rsidRPr="00F72067">
        <w:rPr>
          <w:rFonts w:eastAsiaTheme="majorEastAsia"/>
        </w:rPr>
        <w:t>https://doi.org/10.1016/S0378-1127(99)00191-7</w:t>
      </w:r>
      <w:r w:rsidRPr="005D554A">
        <w:t>, 2000.</w:t>
      </w:r>
    </w:p>
    <w:p w14:paraId="72756195" w14:textId="77777777" w:rsidR="00F72067" w:rsidRPr="005D554A" w:rsidRDefault="00F72067" w:rsidP="00AC7F7F">
      <w:pPr>
        <w:pStyle w:val="EndNoteBibliography"/>
        <w:spacing w:line="360" w:lineRule="auto"/>
      </w:pPr>
      <w:r w:rsidRPr="005D554A">
        <w:t xml:space="preserve">Scottish Forestry: The Native VVoodland Survey of Scotland (NWSS), </w:t>
      </w:r>
      <w:r w:rsidRPr="00F72067">
        <w:rPr>
          <w:rFonts w:eastAsiaTheme="majorEastAsia"/>
        </w:rPr>
        <w:t>https://spatialdata.gov.scot/geonetwork/srv/api/records/BB223316-8746-4338-9056-5D9A2F0D2824</w:t>
      </w:r>
      <w:r w:rsidRPr="005D554A">
        <w:t>, 2014.</w:t>
      </w:r>
    </w:p>
    <w:p w14:paraId="1C2D87D1" w14:textId="77777777" w:rsidR="00F72067" w:rsidRPr="005D554A" w:rsidRDefault="00F72067" w:rsidP="00AC7F7F">
      <w:pPr>
        <w:pStyle w:val="EndNoteBibliography"/>
        <w:spacing w:line="360" w:lineRule="auto"/>
      </w:pPr>
      <w:r w:rsidRPr="005D554A">
        <w:t xml:space="preserve">Scottish Forestry: The Forestry Grant Scheme (FGS): </w:t>
      </w:r>
      <w:r w:rsidRPr="00F72067">
        <w:rPr>
          <w:rFonts w:eastAsiaTheme="majorEastAsia"/>
        </w:rPr>
        <w:t>https://www.forestry.gov.scot/available-funding-and-support</w:t>
      </w:r>
      <w:r w:rsidRPr="005D554A">
        <w:t>, last access: 25/9/2025.</w:t>
      </w:r>
    </w:p>
    <w:p w14:paraId="19C02BFA" w14:textId="77777777" w:rsidR="00F72067" w:rsidRPr="005D554A" w:rsidRDefault="00F72067" w:rsidP="00AC7F7F">
      <w:pPr>
        <w:pStyle w:val="EndNoteBibliography"/>
        <w:spacing w:line="360" w:lineRule="auto"/>
      </w:pPr>
      <w:r w:rsidRPr="005D554A">
        <w:t xml:space="preserve">Scottish Government: Managing deer numbers for nature and climate: </w:t>
      </w:r>
      <w:r w:rsidRPr="00F72067">
        <w:rPr>
          <w:rFonts w:eastAsiaTheme="majorEastAsia"/>
        </w:rPr>
        <w:t>https://www.gov.scot/news/managing-deer-numbers-for-nature-and-climate/</w:t>
      </w:r>
      <w:r w:rsidRPr="005D554A">
        <w:t>, last access: 26/03/2025.</w:t>
      </w:r>
    </w:p>
    <w:p w14:paraId="7C63E17F" w14:textId="77777777" w:rsidR="00F72067" w:rsidRPr="005D554A" w:rsidRDefault="00F72067" w:rsidP="00AC7F7F">
      <w:pPr>
        <w:pStyle w:val="EndNoteBibliography"/>
        <w:spacing w:line="360" w:lineRule="auto"/>
      </w:pPr>
      <w:r w:rsidRPr="005D554A">
        <w:t xml:space="preserve">Seaton, F., Wood, C., Hornigold, K., Kirby, K., Nichols, C., Jam, D., Dear, E., Kimberley, A., and Smart, S.: The increasing role of tree disease and decreasing influence of anthropogenic management over 50 years of woodland dynamics, Proceedings of the Royal Society B: Biological Sciences, 292, 20250554, </w:t>
      </w:r>
      <w:r w:rsidRPr="00F72067">
        <w:rPr>
          <w:rFonts w:eastAsiaTheme="majorEastAsia"/>
        </w:rPr>
        <w:t>https://royalsocietypublishing.org/doi/abs/10.1098/rspb.2025.0554</w:t>
      </w:r>
      <w:r w:rsidRPr="005D554A">
        <w:t>, 2025.</w:t>
      </w:r>
    </w:p>
    <w:p w14:paraId="1ECEB083" w14:textId="77777777" w:rsidR="00F72067" w:rsidRPr="005D554A" w:rsidRDefault="00F72067" w:rsidP="00AC7F7F">
      <w:pPr>
        <w:pStyle w:val="EndNoteBibliography"/>
        <w:spacing w:line="360" w:lineRule="auto"/>
      </w:pPr>
      <w:r w:rsidRPr="005D554A">
        <w:t xml:space="preserve">Seaton, F. M., Robinson, D. A., Monteith, D., Lebron, I., Bürkner, P., Tomlinson, S., Emmett, B. A., and Smart, S. M.: Fifty years of reduction in sulphur deposition drives recovery in soil pH and plant communities, J. Ecol., 111, 464-478, </w:t>
      </w:r>
      <w:r w:rsidRPr="00F72067">
        <w:rPr>
          <w:rFonts w:eastAsiaTheme="majorEastAsia"/>
        </w:rPr>
        <w:t>https://doi.org/10.1111/1365-2745.14039</w:t>
      </w:r>
      <w:r w:rsidRPr="005D554A">
        <w:t>, 2023.</w:t>
      </w:r>
    </w:p>
    <w:p w14:paraId="7A56504D" w14:textId="77777777" w:rsidR="00F72067" w:rsidRPr="005D554A" w:rsidRDefault="00F72067" w:rsidP="00AC7F7F">
      <w:pPr>
        <w:pStyle w:val="EndNoteBibliography"/>
        <w:spacing w:line="360" w:lineRule="auto"/>
      </w:pPr>
      <w:r w:rsidRPr="005D554A">
        <w:t xml:space="preserve">Seidl, R., Thom, D., Kautz, M., Martin-Benito, D., Peltoniemi, M., Vacchiano, G., Wild, J., Ascoli, D., Petr, M., Honkaniemi, J., Lexer, M. J., Trotsiuk, V., Mairota, P., Svoboda, M., Fabrika, M., Nagel, T. A., and Reyer, C. P. O.: Forest disturbances under climate change, Nature Climate Change, 7, 395-402, </w:t>
      </w:r>
      <w:r w:rsidRPr="00F72067">
        <w:rPr>
          <w:rFonts w:eastAsiaTheme="majorEastAsia"/>
        </w:rPr>
        <w:t>https://doi.org/10.1038/nclimate3303</w:t>
      </w:r>
      <w:r w:rsidRPr="005D554A">
        <w:t>, 2017.</w:t>
      </w:r>
    </w:p>
    <w:p w14:paraId="5C539B73" w14:textId="77777777" w:rsidR="00F72067" w:rsidRPr="005D554A" w:rsidRDefault="00F72067" w:rsidP="00AC7F7F">
      <w:pPr>
        <w:pStyle w:val="EndNoteBibliography"/>
        <w:spacing w:line="360" w:lineRule="auto"/>
      </w:pPr>
      <w:r w:rsidRPr="005D554A">
        <w:t xml:space="preserve">Slingo, J., Belcher, S., Scaife, A., McCarthy, M., Saulter, A., McBeath, K., Jenkins, A., Huntingford, C., Marsh, T., Hannaford, J., and Parry, S.: The recent storms and floods in the UK, Exeter, </w:t>
      </w:r>
      <w:r w:rsidRPr="00F72067">
        <w:rPr>
          <w:rFonts w:eastAsiaTheme="majorEastAsia"/>
        </w:rPr>
        <w:t>http://nora.nerc.ac.uk/id/eprint/505192/</w:t>
      </w:r>
      <w:r w:rsidRPr="005D554A">
        <w:t>, 2014.</w:t>
      </w:r>
    </w:p>
    <w:p w14:paraId="0E7F5FD3" w14:textId="77777777" w:rsidR="00F72067" w:rsidRPr="005D554A" w:rsidRDefault="00F72067" w:rsidP="00AC7F7F">
      <w:pPr>
        <w:pStyle w:val="EndNoteBibliography"/>
        <w:spacing w:line="360" w:lineRule="auto"/>
      </w:pPr>
      <w:r w:rsidRPr="005D554A">
        <w:lastRenderedPageBreak/>
        <w:t>Smart, S. M. and Wood, C. M.: National Woodland Survey &amp; Native Pine Survey Field Handbook, UK Centre for Ecology &amp; Hydrology, Lancaster, 2021.</w:t>
      </w:r>
    </w:p>
    <w:p w14:paraId="478BDB59" w14:textId="77777777" w:rsidR="00F72067" w:rsidRPr="005D554A" w:rsidRDefault="00F72067" w:rsidP="00AC7F7F">
      <w:pPr>
        <w:pStyle w:val="EndNoteBibliography"/>
        <w:spacing w:line="360" w:lineRule="auto"/>
      </w:pPr>
      <w:r w:rsidRPr="005D554A">
        <w:t>Smart, S. M., Walker, C., Sier, A. R. J., Seaton, F., Kirby, K. J., and Wood, C. M.: Fifty years of change across British broadleaved woodlands, UKCEH, Lancaster, 2024.</w:t>
      </w:r>
    </w:p>
    <w:p w14:paraId="5B6AB9ED" w14:textId="77777777" w:rsidR="00F72067" w:rsidRPr="005D554A" w:rsidRDefault="00F72067" w:rsidP="00AC7F7F">
      <w:pPr>
        <w:pStyle w:val="EndNoteBibliography"/>
        <w:spacing w:line="360" w:lineRule="auto"/>
      </w:pPr>
      <w:r w:rsidRPr="005D554A">
        <w:t>Smart, S. M., Bunce, R. G. H., Black, H. I. J., Ray, N., Bunce, F., Kirby, K., Watson, R., and Singleton, D.: Measuring long term ecological change in British woodlands (1971-2000). A pilot re-survey of 14 sites from the ITE/NCC 'Bunce 1971' woodland survey and two sites from the 1971 Native Pinewood survey. Volume 1, Peterborough English Nature. (English Nature Research Reports No 461a), 1-60 pp., 2001.</w:t>
      </w:r>
    </w:p>
    <w:p w14:paraId="286B95B6" w14:textId="77777777" w:rsidR="00F72067" w:rsidRPr="005D554A" w:rsidRDefault="00F72067" w:rsidP="00AC7F7F">
      <w:pPr>
        <w:pStyle w:val="EndNoteBibliography"/>
        <w:spacing w:line="360" w:lineRule="auto"/>
      </w:pPr>
      <w:r w:rsidRPr="005D554A">
        <w:t xml:space="preserve">Smart, S. M., Wood, C. M., Seaton, F. M., McMullen, A., Ward, S. E., Ward, R., Routledge, G., Massey, K., Everard, A., Ross, L., Benskin, C. M. H., and Dodd, B. A.: Habitat, vegetation, tree and soil data from Native Pinewoods in Scotland, 2018-2022, NERC EDS Environmental Information Data Centre [dataset], </w:t>
      </w:r>
      <w:r w:rsidRPr="00F72067">
        <w:rPr>
          <w:rFonts w:eastAsiaTheme="majorEastAsia"/>
        </w:rPr>
        <w:t>https://doi.org/10.5285/5e268e86-4a4f-4112-bf2d-c3b0179c915c</w:t>
      </w:r>
      <w:r w:rsidRPr="005D554A">
        <w:t>, 2023.</w:t>
      </w:r>
    </w:p>
    <w:p w14:paraId="425B2E13" w14:textId="77777777" w:rsidR="00F72067" w:rsidRPr="005D554A" w:rsidRDefault="00F72067" w:rsidP="00AC7F7F">
      <w:pPr>
        <w:pStyle w:val="EndNoteBibliography"/>
        <w:spacing w:line="360" w:lineRule="auto"/>
      </w:pPr>
      <w:r w:rsidRPr="005D554A">
        <w:t>Steven, H. M. and Carlisle, A.: The native pinewoods of Scotland, Oliver &amp; Boyd, Edinburgh, 1959.</w:t>
      </w:r>
    </w:p>
    <w:p w14:paraId="3F036944" w14:textId="77777777" w:rsidR="00F72067" w:rsidRPr="005D554A" w:rsidRDefault="00F72067" w:rsidP="00AC7F7F">
      <w:pPr>
        <w:pStyle w:val="EndNoteBibliography"/>
        <w:spacing w:line="360" w:lineRule="auto"/>
      </w:pPr>
      <w:r w:rsidRPr="005D554A">
        <w:t xml:space="preserve">Tayside Biodiversity Partnership: Tayside Biodiversity Action Plan: Woodland, Tayside Biodiversity Partnership, </w:t>
      </w:r>
      <w:r w:rsidRPr="00F72067">
        <w:rPr>
          <w:rFonts w:eastAsiaTheme="majorEastAsia"/>
        </w:rPr>
        <w:t>https://taysidebiodiversity.co.uk/wp-content/uploads/2015/01/Section2Woodland2.pdf</w:t>
      </w:r>
      <w:r w:rsidRPr="005D554A">
        <w:t>, 2002.</w:t>
      </w:r>
    </w:p>
    <w:p w14:paraId="00EA31CB" w14:textId="77777777" w:rsidR="00F72067" w:rsidRPr="005D554A" w:rsidRDefault="00F72067" w:rsidP="00AC7F7F">
      <w:pPr>
        <w:pStyle w:val="EndNoteBibliography"/>
        <w:spacing w:line="360" w:lineRule="auto"/>
      </w:pPr>
      <w:r w:rsidRPr="005D554A">
        <w:t xml:space="preserve">UK GEMINI: UK GEMINI, UK GEMINI </w:t>
      </w:r>
      <w:r w:rsidRPr="00F72067">
        <w:rPr>
          <w:rFonts w:eastAsiaTheme="majorEastAsia"/>
        </w:rPr>
        <w:t>https://www.agi.org.uk/groups/agi-gemini/</w:t>
      </w:r>
      <w:r w:rsidRPr="005D554A">
        <w:t>, last access: 20/6/2025.</w:t>
      </w:r>
    </w:p>
    <w:p w14:paraId="3384F54A" w14:textId="77777777" w:rsidR="00F72067" w:rsidRPr="005D554A" w:rsidRDefault="00F72067" w:rsidP="00AC7F7F">
      <w:pPr>
        <w:pStyle w:val="EndNoteBibliography"/>
        <w:spacing w:line="360" w:lineRule="auto"/>
      </w:pPr>
      <w:r w:rsidRPr="005D554A">
        <w:t xml:space="preserve">Wilson, B. and Puri, G.: A comparison of pinewood and moorland soils in the Abernethy Forest Reserve, Scotland, Global Ecology and Biogeography, 10, 291-303, </w:t>
      </w:r>
      <w:r w:rsidRPr="00F72067">
        <w:rPr>
          <w:rFonts w:eastAsiaTheme="majorEastAsia"/>
        </w:rPr>
        <w:t>https://doi.org/10.1046/j.1466-822X.2001.00226.x</w:t>
      </w:r>
      <w:r w:rsidRPr="005D554A">
        <w:t>, 2001.</w:t>
      </w:r>
    </w:p>
    <w:p w14:paraId="0EC2E8BC" w14:textId="77777777" w:rsidR="00F72067" w:rsidRPr="005D554A" w:rsidRDefault="00F72067" w:rsidP="00AC7F7F">
      <w:pPr>
        <w:pStyle w:val="EndNoteBibliography"/>
        <w:spacing w:line="360" w:lineRule="auto"/>
      </w:pPr>
      <w:r w:rsidRPr="005D554A">
        <w:t xml:space="preserve">Wood, C. M. and Bunce, R. G. H.: Ecological survey of the native pinewoods of Scotland 1971, Earth Syst. Sci. Data, 8, 177-189, </w:t>
      </w:r>
      <w:r w:rsidRPr="00F72067">
        <w:rPr>
          <w:rFonts w:eastAsiaTheme="majorEastAsia"/>
        </w:rPr>
        <w:t>https://doi.org/10.5194/essd-8-177-2016</w:t>
      </w:r>
      <w:r w:rsidRPr="005D554A">
        <w:t>, 2016.</w:t>
      </w:r>
    </w:p>
    <w:p w14:paraId="666732E6" w14:textId="77777777" w:rsidR="00F72067" w:rsidRPr="005D554A" w:rsidRDefault="00F72067" w:rsidP="00AC7F7F">
      <w:pPr>
        <w:pStyle w:val="EndNoteBibliography"/>
        <w:spacing w:line="360" w:lineRule="auto"/>
      </w:pPr>
      <w:r w:rsidRPr="005D554A">
        <w:t xml:space="preserve">Wood, C. M., Smart, S. M., and Bunce, R. G. H.: Woodland Survey of Great Britain 1971–2001, Earth Syst. Sci. Data, 7, 203-214, </w:t>
      </w:r>
      <w:r w:rsidRPr="00F72067">
        <w:rPr>
          <w:rFonts w:eastAsiaTheme="majorEastAsia"/>
        </w:rPr>
        <w:t>https://doi.org/10.5194/essd-7-203-2015</w:t>
      </w:r>
      <w:r w:rsidRPr="005D554A">
        <w:t>, 2015.</w:t>
      </w:r>
    </w:p>
    <w:p w14:paraId="20188566" w14:textId="77777777" w:rsidR="00F72067" w:rsidRPr="005D554A" w:rsidRDefault="00F72067" w:rsidP="00AC7F7F">
      <w:pPr>
        <w:pStyle w:val="EndNoteBibliography"/>
        <w:spacing w:line="360" w:lineRule="auto"/>
      </w:pPr>
      <w:r w:rsidRPr="005D554A">
        <w:t xml:space="preserve">Woth, K., Weisse, R., and von Storch, H.: Climate change and North Sea storm surge extremes: an ensemble study of storm surge extremes expected in a changed climate projected by four different regional climate models, Ocean Dynamics, 56, 3-15, </w:t>
      </w:r>
      <w:r w:rsidRPr="00F72067">
        <w:rPr>
          <w:rFonts w:eastAsiaTheme="majorEastAsia"/>
        </w:rPr>
        <w:t>https://doi.org/10.1007/s10236-005-0024-3</w:t>
      </w:r>
      <w:r w:rsidRPr="005D554A">
        <w:t>, 2006.</w:t>
      </w:r>
    </w:p>
    <w:p w14:paraId="67C26222" w14:textId="77777777" w:rsidR="00F72067" w:rsidRDefault="00F72067" w:rsidP="00C077C0">
      <w:pPr>
        <w:pStyle w:val="Caption"/>
      </w:pPr>
    </w:p>
    <w:p w14:paraId="273BA884" w14:textId="77777777" w:rsidR="00CA5B81" w:rsidRDefault="00CA5B81"/>
    <w:sectPr w:rsidR="00CA5B81" w:rsidSect="00717F49">
      <w:footerReference w:type="default" r:id="rId30"/>
      <w:pgSz w:w="11906" w:h="16838"/>
      <w:pgMar w:top="1440" w:right="1440" w:bottom="1440" w:left="1440" w:header="709" w:footer="709" w:gutter="0"/>
      <w:lnNumType w:countBy="5"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Richard Thompson" w:date="2026-02-16T10:30:00Z" w:initials="RT">
    <w:p w14:paraId="7B138F60" w14:textId="77777777" w:rsidR="00C26A50" w:rsidRDefault="00C26A50" w:rsidP="00C26A50">
      <w:pPr>
        <w:pStyle w:val="CommentText"/>
        <w:jc w:val="left"/>
      </w:pPr>
      <w:r>
        <w:rPr>
          <w:rStyle w:val="CommentReference"/>
        </w:rPr>
        <w:annotationRef/>
      </w:r>
      <w:r>
        <w:t>I suggest that you put here ‘, formerly Forest Enterprise Scotland and before that, the Forestry Commission.’ This is a lot of text but I think this change is important as FES and FLS have treated the pinewoods very differently to FC.</w:t>
      </w:r>
    </w:p>
  </w:comment>
  <w:comment w:id="1" w:author="Richard Thompson" w:date="2026-02-16T10:27:00Z" w:initials="RT">
    <w:p w14:paraId="1B978436" w14:textId="77777777" w:rsidR="00AB4F7A" w:rsidRDefault="00C26A50" w:rsidP="00AB4F7A">
      <w:pPr>
        <w:pStyle w:val="CommentText"/>
        <w:jc w:val="left"/>
      </w:pPr>
      <w:r>
        <w:rPr>
          <w:rStyle w:val="CommentReference"/>
        </w:rPr>
        <w:annotationRef/>
      </w:r>
      <w:r w:rsidR="00AB4F7A">
        <w:t xml:space="preserve">As this paragraph seems to be about state forestry,  do you mean Abernethy here? I am not aware of extensive planting of non-native species at Abernethy which has not to my knowledge been managed by FC or it’s successor organisations. </w:t>
      </w:r>
    </w:p>
  </w:comment>
  <w:comment w:id="2" w:author="Richard Thompson" w:date="2026-02-16T10:33:00Z" w:initials="RT">
    <w:p w14:paraId="51A998E1" w14:textId="2E857777" w:rsidR="00426554" w:rsidRDefault="00426554" w:rsidP="00426554">
      <w:pPr>
        <w:pStyle w:val="CommentText"/>
        <w:jc w:val="left"/>
      </w:pPr>
      <w:r>
        <w:rPr>
          <w:rStyle w:val="CommentReference"/>
        </w:rPr>
        <w:annotationRef/>
      </w:r>
      <w:r>
        <w:t>Suggest change to ‘and pinewood restoration’ rather than ‘and management as the latter begs the question what management?</w:t>
      </w:r>
    </w:p>
  </w:comment>
  <w:comment w:id="3" w:author="Richard Thompson" w:date="2026-02-16T10:35:00Z" w:initials="RT">
    <w:p w14:paraId="1120A083" w14:textId="77777777" w:rsidR="00AB4F7A" w:rsidRDefault="00426554" w:rsidP="00AB4F7A">
      <w:pPr>
        <w:pStyle w:val="CommentText"/>
        <w:jc w:val="left"/>
      </w:pPr>
      <w:r>
        <w:rPr>
          <w:rStyle w:val="CommentReference"/>
        </w:rPr>
        <w:annotationRef/>
      </w:r>
      <w:r w:rsidR="00AB4F7A">
        <w:t>This paragraph seems rather mixed geographically, hopping from Rannoch to Amat. I am not sure which pinewood the last sentence is referring to.</w:t>
      </w:r>
    </w:p>
  </w:comment>
  <w:comment w:id="4" w:author="Richard Thompson" w:date="2026-02-16T10:47:00Z" w:initials="RT">
    <w:p w14:paraId="10B953C5" w14:textId="3F493534" w:rsidR="003F3341" w:rsidRDefault="003F3341" w:rsidP="003F3341">
      <w:pPr>
        <w:pStyle w:val="CommentText"/>
        <w:jc w:val="left"/>
      </w:pPr>
      <w:r>
        <w:rPr>
          <w:rStyle w:val="CommentReference"/>
        </w:rPr>
        <w:annotationRef/>
      </w:r>
      <w:r>
        <w:t>I can see that you are setting the scene here but I think the reference to Doanld McVean’s work needs to be simplified - i.e. as well  as conversion to plantation and very limited prospects for Caledonian pinewood expansion, there were also concerns about the composition of extant Caledonian pinewoods.</w:t>
      </w:r>
    </w:p>
  </w:comment>
  <w:comment w:id="5" w:author="Richard Thompson" w:date="2026-02-16T10:59:00Z" w:initials="RT">
    <w:p w14:paraId="7461FC79" w14:textId="77777777" w:rsidR="001942F0" w:rsidRDefault="001942F0" w:rsidP="001942F0">
      <w:pPr>
        <w:pStyle w:val="CommentText"/>
        <w:jc w:val="left"/>
      </w:pPr>
      <w:r>
        <w:rPr>
          <w:rStyle w:val="CommentReference"/>
        </w:rPr>
        <w:annotationRef/>
      </w:r>
      <w:r>
        <w:t>Could you maybe say ‘each of these have affected … since the 1970’s ‘ to connect the following sections with the last para and the section title?</w:t>
      </w:r>
    </w:p>
  </w:comment>
  <w:comment w:id="6" w:author="Richard Thompson" w:date="2026-02-16T11:02:00Z" w:initials="RT">
    <w:p w14:paraId="3059967D" w14:textId="77777777" w:rsidR="001942F0" w:rsidRDefault="001942F0" w:rsidP="001942F0">
      <w:pPr>
        <w:pStyle w:val="CommentText"/>
        <w:jc w:val="left"/>
      </w:pPr>
      <w:r>
        <w:rPr>
          <w:rStyle w:val="CommentReference"/>
        </w:rPr>
        <w:annotationRef/>
      </w:r>
      <w:r>
        <w:t>I would say ‘particularly in the west, with extensive planting of Scots pine around other pinewoods - often in the Central and Eastern Highlands.</w:t>
      </w:r>
    </w:p>
  </w:comment>
  <w:comment w:id="7" w:author="Richard Thompson" w:date="2026-02-16T11:08:00Z" w:initials="RT">
    <w:p w14:paraId="495F049D" w14:textId="77777777" w:rsidR="00C90A0B" w:rsidRDefault="00C90A0B" w:rsidP="00C90A0B">
      <w:pPr>
        <w:pStyle w:val="CommentText"/>
        <w:jc w:val="left"/>
      </w:pPr>
      <w:r>
        <w:rPr>
          <w:rStyle w:val="CommentReference"/>
        </w:rPr>
        <w:annotationRef/>
      </w:r>
      <w:r>
        <w:t xml:space="preserve">I don’t think you need this section. It doesn’t fit well with the rest which is about policy. </w:t>
      </w:r>
    </w:p>
  </w:comment>
  <w:comment w:id="8" w:author="Richard Thompson" w:date="2026-02-16T11:13:00Z" w:initials="RT">
    <w:p w14:paraId="7B84A0DA" w14:textId="77777777" w:rsidR="003C65FC" w:rsidRDefault="003C65FC" w:rsidP="003C65FC">
      <w:pPr>
        <w:pStyle w:val="CommentText"/>
        <w:jc w:val="left"/>
      </w:pPr>
      <w:r>
        <w:rPr>
          <w:rStyle w:val="CommentReference"/>
        </w:rPr>
        <w:annotationRef/>
      </w:r>
      <w:r>
        <w:t>Are they? I am not aware of vascular plants restricted to Caledonian pinewoods.</w:t>
      </w:r>
    </w:p>
  </w:comment>
  <w:comment w:id="9" w:author="Richard Thompson" w:date="2026-02-16T11:12:00Z" w:initials="RT">
    <w:p w14:paraId="316191CA" w14:textId="77777777" w:rsidR="009117F8" w:rsidRDefault="003C65FC" w:rsidP="009117F8">
      <w:pPr>
        <w:pStyle w:val="CommentText"/>
        <w:jc w:val="left"/>
      </w:pPr>
      <w:r>
        <w:rPr>
          <w:rStyle w:val="CommentReference"/>
        </w:rPr>
        <w:annotationRef/>
      </w:r>
      <w:r w:rsidR="009117F8">
        <w:t xml:space="preserve">This species is fairly ubiquitous in many Scots pine plantations outwith the Caledonian pinewoods. </w:t>
      </w:r>
    </w:p>
  </w:comment>
  <w:comment w:id="10" w:author="Richard Thompson" w:date="2026-02-16T12:02:00Z" w:initials="RT">
    <w:p w14:paraId="22ECD0BD" w14:textId="77777777" w:rsidR="009C37C1" w:rsidRDefault="009C37C1" w:rsidP="009C37C1">
      <w:pPr>
        <w:pStyle w:val="CommentText"/>
        <w:jc w:val="left"/>
      </w:pPr>
      <w:r>
        <w:rPr>
          <w:rStyle w:val="CommentReference"/>
        </w:rPr>
        <w:annotationRef/>
      </w:r>
      <w:r>
        <w:t xml:space="preserve"> the then current…? This paragraph hops about between different time periods. </w:t>
      </w:r>
    </w:p>
  </w:comment>
  <w:comment w:id="11" w:author="Richard Thompson" w:date="2026-02-16T12:06:00Z" w:initials="RT">
    <w:p w14:paraId="17518039" w14:textId="77777777" w:rsidR="009C37C1" w:rsidRDefault="009C37C1" w:rsidP="009C37C1">
      <w:pPr>
        <w:pStyle w:val="CommentText"/>
        <w:jc w:val="left"/>
      </w:pPr>
      <w:r>
        <w:rPr>
          <w:rStyle w:val="CommentReference"/>
        </w:rPr>
        <w:annotationRef/>
      </w:r>
      <w:r>
        <w:t>Actually, FLS manages 27%. What about other public ownership? NatureScot owns Beinn Eighe and I think, part of Glen Feshie and Rothimurchus. Ian Sargent will have the details. It would be useful to know the % split between ‘private’ and eNGO .</w:t>
      </w:r>
    </w:p>
  </w:comment>
  <w:comment w:id="12" w:author="Richard Thompson" w:date="2026-02-17T10:18:00Z" w:initials="RT">
    <w:p w14:paraId="157C9F08" w14:textId="77777777" w:rsidR="001B27B1" w:rsidRDefault="001B27B1" w:rsidP="001B27B1">
      <w:pPr>
        <w:pStyle w:val="CommentText"/>
        <w:jc w:val="left"/>
      </w:pPr>
      <w:r>
        <w:rPr>
          <w:rStyle w:val="CommentReference"/>
        </w:rPr>
        <w:annotationRef/>
      </w:r>
      <w:r>
        <w:t>See comment below. I am assuming this section is about trees only, not saplings. I would include the definition of trees here in brackets.</w:t>
      </w:r>
    </w:p>
  </w:comment>
  <w:comment w:id="13" w:author="Richard Thompson" w:date="2026-02-17T10:12:00Z" w:initials="RT">
    <w:p w14:paraId="3C9D3FF1" w14:textId="182C3AE2" w:rsidR="001B27B1" w:rsidRDefault="001B27B1" w:rsidP="001B27B1">
      <w:pPr>
        <w:pStyle w:val="CommentText"/>
        <w:jc w:val="left"/>
      </w:pPr>
      <w:r>
        <w:rPr>
          <w:rStyle w:val="CommentReference"/>
        </w:rPr>
        <w:annotationRef/>
      </w:r>
      <w:r>
        <w:t>Is this for saplings and trees? I was presuming just trees but the reference to figure 2 here suggests that it may include saplings. The Glen Tanar photo looks like they are higher than 1.3m but it is not really obvious.</w:t>
      </w:r>
    </w:p>
  </w:comment>
  <w:comment w:id="22" w:author="Richard Thompson" w:date="2026-02-16T16:47:00Z" w:initials="RT">
    <w:p w14:paraId="7EC060EC" w14:textId="77777777" w:rsidR="00350CE5" w:rsidRDefault="00FB223E" w:rsidP="00350CE5">
      <w:pPr>
        <w:pStyle w:val="CommentText"/>
        <w:jc w:val="left"/>
      </w:pPr>
      <w:r>
        <w:rPr>
          <w:rStyle w:val="CommentReference"/>
        </w:rPr>
        <w:annotationRef/>
      </w:r>
      <w:r w:rsidR="00350CE5">
        <w:t>There have been a number of studies clearly demonstrating that there is no relationship between diameter at breast height and age in Caledonian pinewoods. I would at least express caution about the assumption that trees &lt;20cm dbh equate to trees &lt; or equal to 50 years</w:t>
      </w:r>
    </w:p>
  </w:comment>
  <w:comment w:id="23" w:author="Richard Thompson" w:date="2026-02-16T16:49:00Z" w:initials="RT">
    <w:p w14:paraId="64418BD9" w14:textId="219FEB52" w:rsidR="00FB223E" w:rsidRDefault="00FB223E" w:rsidP="00FB223E">
      <w:pPr>
        <w:pStyle w:val="CommentText"/>
        <w:jc w:val="left"/>
      </w:pPr>
      <w:r>
        <w:rPr>
          <w:rStyle w:val="CommentReference"/>
        </w:rPr>
        <w:annotationRef/>
      </w:r>
      <w:r>
        <w:t>A decrease in browsing and grazing impacts?</w:t>
      </w:r>
    </w:p>
  </w:comment>
  <w:comment w:id="24" w:author="Richard Thompson" w:date="2026-02-16T16:51:00Z" w:initials="RT">
    <w:p w14:paraId="33B33B91" w14:textId="77777777" w:rsidR="00FB223E" w:rsidRDefault="00FB223E" w:rsidP="00FB223E">
      <w:pPr>
        <w:pStyle w:val="CommentText"/>
        <w:jc w:val="left"/>
      </w:pPr>
      <w:r>
        <w:rPr>
          <w:rStyle w:val="CommentReference"/>
        </w:rPr>
        <w:annotationRef/>
      </w:r>
      <w:r>
        <w:t>Does ‘Other conifers’ include non-natives? I would remove non-natives from this analysis to aide clarity and stick to native species only in this section.</w:t>
      </w:r>
    </w:p>
  </w:comment>
  <w:comment w:id="27" w:author="Richard Thompson" w:date="2026-02-16T16:54:00Z" w:initials="RT">
    <w:p w14:paraId="0E0AF19F" w14:textId="77777777" w:rsidR="0083091C" w:rsidRDefault="00F50022" w:rsidP="0083091C">
      <w:pPr>
        <w:pStyle w:val="CommentText"/>
        <w:jc w:val="left"/>
      </w:pPr>
      <w:r>
        <w:rPr>
          <w:rStyle w:val="CommentReference"/>
        </w:rPr>
        <w:annotationRef/>
      </w:r>
      <w:r w:rsidR="0083091C">
        <w:t>Did you record an effect on species composition of that regeneration? i.e. were palatable species preferentially reduced? Did low palatability species predominate?  Figure 7 suggests not - i.e. that palatable rowan had the biggest increase. Maybe this was in sites with good deer control though. Or most likely, it was saplings repeatedly browsed.  I would be very surprised not to see a selective browsing pressure in sites with high deer numbers. It would be really helpful to show an equivalent table to figure 7 for trees dbh 5cm to 10cm if this is reasonably straightforward to do . I suspect that a comparison between tables would show strong evidence for selective browsing on palatable rowan and more of a difference than for birch and Scots pine. Further analysis looking at birch in the east and Scots pine in the west would be fascinating to see if there is a similar relationship to that observed by Rainey in the CPR ‘birch effect’.</w:t>
      </w:r>
    </w:p>
  </w:comment>
  <w:comment w:id="28" w:author="Richard Thompson" w:date="2026-02-17T11:13:00Z" w:initials="RT">
    <w:p w14:paraId="1E42BD3D" w14:textId="77777777" w:rsidR="00226175" w:rsidRDefault="005E3F99" w:rsidP="00226175">
      <w:pPr>
        <w:pStyle w:val="CommentText"/>
        <w:jc w:val="left"/>
      </w:pPr>
      <w:r>
        <w:rPr>
          <w:rStyle w:val="CommentReference"/>
        </w:rPr>
        <w:annotationRef/>
      </w:r>
      <w:r w:rsidR="00226175">
        <w:t xml:space="preserve">To add further about my call for more on selective browsing! Table S1  in the supplementary data clearly shows a decline in highly palatable willow, aspen and rowan trees. I suspect this will be due to old trees dying naturally through old age but also being bark stripped. It shows a lack of recruitment despite the abundant regeneration of rowan shown in figure 7. </w:t>
      </w:r>
    </w:p>
  </w:comment>
  <w:comment w:id="29" w:author="Richard Thompson" w:date="2026-02-16T17:00:00Z" w:initials="RT">
    <w:p w14:paraId="33F2B1DE" w14:textId="7B577137" w:rsidR="0083091C" w:rsidRDefault="00F50022" w:rsidP="0083091C">
      <w:pPr>
        <w:pStyle w:val="CommentText"/>
        <w:jc w:val="left"/>
      </w:pPr>
      <w:r>
        <w:rPr>
          <w:rStyle w:val="CommentReference"/>
        </w:rPr>
        <w:annotationRef/>
      </w:r>
      <w:r w:rsidR="0083091C">
        <w:t>I would start the first part of this statement ‘Over all sites, …’ due to the contrasting way that sites have been managed - or not, since the 1971 survey. Can you add blaeberry to table 2?</w:t>
      </w:r>
    </w:p>
  </w:comment>
  <w:comment w:id="30" w:author="Richard Thompson" w:date="2026-02-16T17:03:00Z" w:initials="RT">
    <w:p w14:paraId="02283653" w14:textId="76FC11DF" w:rsidR="00F50022" w:rsidRDefault="00F50022" w:rsidP="00F50022">
      <w:pPr>
        <w:pStyle w:val="CommentText"/>
        <w:jc w:val="left"/>
      </w:pPr>
      <w:r>
        <w:rPr>
          <w:rStyle w:val="CommentReference"/>
        </w:rPr>
        <w:annotationRef/>
      </w:r>
      <w:r>
        <w:t>Why do you think there has been any loss of grasses in sites with increased signs of deer?</w:t>
      </w:r>
    </w:p>
  </w:comment>
  <w:comment w:id="31" w:author="Richard Thompson" w:date="2026-02-16T17:04:00Z" w:initials="RT">
    <w:p w14:paraId="5DDA9DBE" w14:textId="77777777" w:rsidR="00095564" w:rsidRDefault="00095564" w:rsidP="00095564">
      <w:pPr>
        <w:pStyle w:val="CommentText"/>
        <w:jc w:val="left"/>
      </w:pPr>
      <w:r>
        <w:rPr>
          <w:rStyle w:val="CommentReference"/>
        </w:rPr>
        <w:annotationRef/>
      </w:r>
      <w:r>
        <w:t>Should this say ‘Mean change in cover of heather species per site’?</w:t>
      </w:r>
    </w:p>
  </w:comment>
  <w:comment w:id="33" w:author="Richard Thompson" w:date="2026-02-16T17:09:00Z" w:initials="RT">
    <w:p w14:paraId="0EB19031" w14:textId="77777777" w:rsidR="00095564" w:rsidRDefault="00095564" w:rsidP="00095564">
      <w:pPr>
        <w:pStyle w:val="CommentText"/>
        <w:jc w:val="left"/>
      </w:pPr>
      <w:r>
        <w:rPr>
          <w:rStyle w:val="CommentReference"/>
        </w:rPr>
        <w:annotationRef/>
      </w:r>
      <w:r>
        <w:t xml:space="preserve">Do you mean plants associated with bogs and wet heaths? I tend to think of </w:t>
      </w:r>
      <w:r>
        <w:rPr>
          <w:color w:val="1F1F1F"/>
          <w:highlight w:val="white"/>
        </w:rPr>
        <w:t>Phragmites australis</w:t>
      </w:r>
      <w:r>
        <w:t xml:space="preserve"> when I see wetlands.</w:t>
      </w:r>
    </w:p>
  </w:comment>
  <w:comment w:id="34" w:author="Richard Thompson" w:date="2026-02-16T17:10:00Z" w:initials="RT">
    <w:p w14:paraId="117F89AC" w14:textId="77777777" w:rsidR="00095564" w:rsidRDefault="00095564" w:rsidP="00095564">
      <w:pPr>
        <w:pStyle w:val="CommentText"/>
        <w:jc w:val="left"/>
      </w:pPr>
      <w:r>
        <w:rPr>
          <w:rStyle w:val="CommentReference"/>
        </w:rPr>
        <w:annotationRef/>
      </w:r>
      <w:r>
        <w:t>Is it not also parasitic on grasses?</w:t>
      </w:r>
    </w:p>
  </w:comment>
  <w:comment w:id="38" w:author="Richard Thompson" w:date="2026-02-17T09:08:00Z" w:initials="RT">
    <w:p w14:paraId="154222AC" w14:textId="77777777" w:rsidR="00121A66" w:rsidRDefault="00121A66" w:rsidP="00121A66">
      <w:pPr>
        <w:pStyle w:val="CommentText"/>
        <w:jc w:val="left"/>
      </w:pPr>
      <w:r>
        <w:rPr>
          <w:rStyle w:val="CommentReference"/>
        </w:rPr>
        <w:annotationRef/>
      </w:r>
      <w:r>
        <w:t>Given that you have referred to non-native removal for the Garry and Arkaig, I think you have to mention it here as well - i.e. that despite the extensive removal of non-natives in Glenmore, Guisachan and Cougie, richness declined. I wonder if this is due to sampling within dense native stem exclusion where light levels are lower - certainly plenty of this at Cougie and Guisachan? Deer levels are higher at the Garry so could be related to herbivory maintaining more open sward?</w:t>
      </w:r>
    </w:p>
  </w:comment>
  <w:comment w:id="39" w:author="Richard Thompson" w:date="2026-02-17T09:13:00Z" w:initials="RT">
    <w:p w14:paraId="6BC13E02" w14:textId="77777777" w:rsidR="00121A66" w:rsidRDefault="00121A66" w:rsidP="00121A66">
      <w:pPr>
        <w:pStyle w:val="CommentText"/>
        <w:jc w:val="left"/>
      </w:pPr>
      <w:r>
        <w:rPr>
          <w:rStyle w:val="CommentReference"/>
        </w:rPr>
        <w:annotationRef/>
      </w:r>
      <w:r>
        <w:t>I would guarantee that this is due to selective browsing.</w:t>
      </w:r>
    </w:p>
  </w:comment>
  <w:comment w:id="41" w:author="Richard Thompson" w:date="2026-02-17T09:21:00Z" w:initials="RT">
    <w:p w14:paraId="3295B7A4" w14:textId="77777777" w:rsidR="00750C8E" w:rsidRDefault="00750C8E" w:rsidP="00750C8E">
      <w:pPr>
        <w:pStyle w:val="CommentText"/>
        <w:jc w:val="left"/>
      </w:pPr>
      <w:r>
        <w:rPr>
          <w:rStyle w:val="CommentReference"/>
        </w:rPr>
        <w:annotationRef/>
      </w:r>
      <w:r>
        <w:t xml:space="preserve">This is interesting. Any idea why? I would also point out the increase in pH in Deeside which looks significant - and a long way from pollutants in the central belt. </w:t>
      </w:r>
    </w:p>
  </w:comment>
  <w:comment w:id="42" w:author="Richard Thompson" w:date="2026-02-17T09:21:00Z" w:initials="RT">
    <w:p w14:paraId="75E56E35" w14:textId="77777777" w:rsidR="00750C8E" w:rsidRDefault="00750C8E" w:rsidP="00750C8E">
      <w:pPr>
        <w:pStyle w:val="CommentText"/>
        <w:jc w:val="left"/>
      </w:pPr>
      <w:r>
        <w:rPr>
          <w:rStyle w:val="CommentReference"/>
        </w:rPr>
        <w:annotationRef/>
      </w:r>
      <w:r>
        <w:t>Is it worth mentioning this? It seems so variable.</w:t>
      </w:r>
    </w:p>
  </w:comment>
  <w:comment w:id="46" w:author="Richard Thompson" w:date="2026-02-17T09:24:00Z" w:initials="RT">
    <w:p w14:paraId="20AA9F2E" w14:textId="77777777" w:rsidR="00750C8E" w:rsidRDefault="00750C8E" w:rsidP="00750C8E">
      <w:pPr>
        <w:pStyle w:val="CommentText"/>
        <w:jc w:val="left"/>
      </w:pPr>
      <w:r>
        <w:rPr>
          <w:rStyle w:val="CommentReference"/>
        </w:rPr>
        <w:annotationRef/>
      </w:r>
      <w:r>
        <w:t>These are almost certainly lodgepole pines. See bark. DNB this extensive is almost invariably on lodgepole pine.</w:t>
      </w:r>
    </w:p>
  </w:comment>
  <w:comment w:id="47" w:author="Richard Thompson" w:date="2026-02-17T09:52:00Z" w:initials="RT">
    <w:p w14:paraId="4CC8E66F" w14:textId="77777777" w:rsidR="003D504C" w:rsidRDefault="003D504C" w:rsidP="003D504C">
      <w:pPr>
        <w:pStyle w:val="CommentText"/>
        <w:jc w:val="left"/>
      </w:pPr>
      <w:r>
        <w:rPr>
          <w:rStyle w:val="CommentReference"/>
        </w:rPr>
        <w:annotationRef/>
      </w:r>
      <w:r>
        <w:t xml:space="preserve">Most of this seems to be about methodology comparisons with other pinewood surveys. I think it is worth exploring the Bunce results in comparison with the CPR more - maybe simply in terms of overall conclusions - i.e. the CPR results suggesting a less assured future for the pinewoods without a considerable resurgence of effort to consolidate previous restoration management. </w:t>
      </w:r>
    </w:p>
  </w:comment>
  <w:comment w:id="48" w:author="Richard Thompson" w:date="2026-02-17T09:58:00Z" w:initials="RT">
    <w:p w14:paraId="74A12494" w14:textId="77777777" w:rsidR="003D504C" w:rsidRDefault="003D504C" w:rsidP="003D504C">
      <w:pPr>
        <w:pStyle w:val="CommentText"/>
        <w:jc w:val="left"/>
      </w:pPr>
      <w:r>
        <w:rPr>
          <w:rStyle w:val="CommentReference"/>
        </w:rPr>
        <w:annotationRef/>
      </w:r>
      <w:r>
        <w:t>I would change this to ‘possible’</w:t>
      </w:r>
    </w:p>
  </w:comment>
  <w:comment w:id="49" w:author="Richard Thompson" w:date="2026-02-17T09:59:00Z" w:initials="RT">
    <w:p w14:paraId="2B7B330F" w14:textId="77777777" w:rsidR="00685417" w:rsidRDefault="00685417" w:rsidP="00685417">
      <w:pPr>
        <w:pStyle w:val="CommentText"/>
        <w:jc w:val="left"/>
      </w:pPr>
      <w:r>
        <w:rPr>
          <w:rStyle w:val="CommentReference"/>
        </w:rPr>
        <w:annotationRef/>
      </w:r>
      <w:r>
        <w:t>I would change this to ‘although unlikely in sites with signs of significant deer impacts’</w:t>
      </w:r>
    </w:p>
  </w:comment>
  <w:comment w:id="50" w:author="Richard Thompson" w:date="2026-02-17T09:36:00Z" w:initials="RT">
    <w:p w14:paraId="149AF822" w14:textId="77777777" w:rsidR="00AB4F7A" w:rsidRDefault="005A5794" w:rsidP="00AB4F7A">
      <w:pPr>
        <w:pStyle w:val="CommentText"/>
        <w:jc w:val="left"/>
      </w:pPr>
      <w:r>
        <w:rPr>
          <w:rStyle w:val="CommentReference"/>
        </w:rPr>
        <w:annotationRef/>
      </w:r>
      <w:r w:rsidR="00AB4F7A">
        <w:t xml:space="preserve">This is no surprise for Black Mount which is a traditional deer estate. But for Glen Affric and Glen Feshie (two of the most successful examples of native pinewood restoration), this is highly counter-intuitive. Could the decline in DBH be due to recruitment of younger ages classes, thereby reducing the mean? </w:t>
      </w:r>
    </w:p>
  </w:comment>
  <w:comment w:id="51" w:author="Richard Thompson" w:date="2026-02-17T09:39:00Z" w:initials="RT">
    <w:p w14:paraId="0FF0C0C3" w14:textId="422B3327" w:rsidR="00773AC3" w:rsidRDefault="00773AC3" w:rsidP="00773AC3">
      <w:pPr>
        <w:pStyle w:val="CommentText"/>
        <w:jc w:val="left"/>
      </w:pPr>
      <w:r>
        <w:rPr>
          <w:rStyle w:val="CommentReference"/>
        </w:rPr>
        <w:annotationRef/>
      </w:r>
      <w:r>
        <w:t>This is an emphatic statement. Do you know deer numbers had declined for certain or is this based on signs of a decline in deer numbers/impacts?</w:t>
      </w:r>
    </w:p>
  </w:comment>
  <w:comment w:id="52" w:author="Richard Thompson" w:date="2026-02-17T09:55:00Z" w:initials="RT">
    <w:p w14:paraId="6F73409D" w14:textId="77777777" w:rsidR="003D504C" w:rsidRDefault="003D504C" w:rsidP="003D504C">
      <w:pPr>
        <w:pStyle w:val="CommentText"/>
        <w:jc w:val="left"/>
      </w:pPr>
      <w:r>
        <w:rPr>
          <w:rStyle w:val="CommentReference"/>
        </w:rPr>
        <w:annotationRef/>
      </w:r>
      <w:r>
        <w:t>Mean increase, mean decrease?</w:t>
      </w:r>
    </w:p>
  </w:comment>
  <w:comment w:id="53" w:author="Richard Thompson" w:date="2026-02-17T09:45:00Z" w:initials="RT">
    <w:p w14:paraId="1D3B007F" w14:textId="3849C38D" w:rsidR="00773AC3" w:rsidRDefault="00773AC3" w:rsidP="00773AC3">
      <w:pPr>
        <w:pStyle w:val="CommentText"/>
        <w:jc w:val="left"/>
      </w:pPr>
      <w:r>
        <w:rPr>
          <w:rStyle w:val="CommentReference"/>
        </w:rPr>
        <w:annotationRef/>
      </w:r>
      <w:r>
        <w:t xml:space="preserve">I would express caution about any possible impacts of climate change on vascular plant diversity due to the huge amount of management change that has taken place to the pinewoods since 1971. </w:t>
      </w:r>
    </w:p>
  </w:comment>
  <w:comment w:id="54" w:author="Richard Thompson" w:date="2026-02-17T09:57:00Z" w:initials="RT">
    <w:p w14:paraId="7093DC99" w14:textId="77777777" w:rsidR="003D504C" w:rsidRDefault="003D504C" w:rsidP="003D504C">
      <w:pPr>
        <w:pStyle w:val="CommentText"/>
        <w:jc w:val="left"/>
      </w:pPr>
      <w:r>
        <w:rPr>
          <w:rStyle w:val="CommentReference"/>
        </w:rPr>
        <w:annotationRef/>
      </w:r>
      <w:r>
        <w:t>I would remove the word ‘Whilst’ at the beginning of this sentence and make it two sentences at habitat, / the Bunce.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B138F60" w15:done="0"/>
  <w15:commentEx w15:paraId="1B978436" w15:done="0"/>
  <w15:commentEx w15:paraId="51A998E1" w15:done="0"/>
  <w15:commentEx w15:paraId="1120A083" w15:done="0"/>
  <w15:commentEx w15:paraId="10B953C5" w15:done="0"/>
  <w15:commentEx w15:paraId="7461FC79" w15:done="0"/>
  <w15:commentEx w15:paraId="3059967D" w15:done="0"/>
  <w15:commentEx w15:paraId="495F049D" w15:done="0"/>
  <w15:commentEx w15:paraId="7B84A0DA" w15:done="0"/>
  <w15:commentEx w15:paraId="316191CA" w15:done="0"/>
  <w15:commentEx w15:paraId="22ECD0BD" w15:done="0"/>
  <w15:commentEx w15:paraId="17518039" w15:done="0"/>
  <w15:commentEx w15:paraId="157C9F08" w15:done="0"/>
  <w15:commentEx w15:paraId="3C9D3FF1" w15:done="0"/>
  <w15:commentEx w15:paraId="7EC060EC" w15:done="0"/>
  <w15:commentEx w15:paraId="64418BD9" w15:done="0"/>
  <w15:commentEx w15:paraId="33B33B91" w15:done="0"/>
  <w15:commentEx w15:paraId="0E0AF19F" w15:done="0"/>
  <w15:commentEx w15:paraId="1E42BD3D" w15:done="0"/>
  <w15:commentEx w15:paraId="33F2B1DE" w15:done="0"/>
  <w15:commentEx w15:paraId="02283653" w15:done="0"/>
  <w15:commentEx w15:paraId="5DDA9DBE" w15:done="0"/>
  <w15:commentEx w15:paraId="0EB19031" w15:done="0"/>
  <w15:commentEx w15:paraId="117F89AC" w15:done="0"/>
  <w15:commentEx w15:paraId="154222AC" w15:done="0"/>
  <w15:commentEx w15:paraId="6BC13E02" w15:done="0"/>
  <w15:commentEx w15:paraId="3295B7A4" w15:done="0"/>
  <w15:commentEx w15:paraId="75E56E35" w15:done="0"/>
  <w15:commentEx w15:paraId="20AA9F2E" w15:done="0"/>
  <w15:commentEx w15:paraId="4CC8E66F" w15:done="0"/>
  <w15:commentEx w15:paraId="74A12494" w15:done="0"/>
  <w15:commentEx w15:paraId="2B7B330F" w15:done="0"/>
  <w15:commentEx w15:paraId="149AF822" w15:done="0"/>
  <w15:commentEx w15:paraId="0FF0C0C3" w15:done="0"/>
  <w15:commentEx w15:paraId="6F73409D" w15:done="0"/>
  <w15:commentEx w15:paraId="1D3B007F" w15:done="0"/>
  <w15:commentEx w15:paraId="7093DC9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747FE54" w16cex:dateUtc="2026-02-16T10:30:00Z"/>
  <w16cex:commentExtensible w16cex:durableId="02459BB5" w16cex:dateUtc="2026-02-16T10:27:00Z"/>
  <w16cex:commentExtensible w16cex:durableId="75A9D7D1" w16cex:dateUtc="2026-02-16T10:33:00Z"/>
  <w16cex:commentExtensible w16cex:durableId="5420DC63" w16cex:dateUtc="2026-02-16T10:35:00Z"/>
  <w16cex:commentExtensible w16cex:durableId="2B086B78" w16cex:dateUtc="2026-02-16T10:47:00Z"/>
  <w16cex:commentExtensible w16cex:durableId="3FAB0484" w16cex:dateUtc="2026-02-16T10:59:00Z"/>
  <w16cex:commentExtensible w16cex:durableId="698E7024" w16cex:dateUtc="2026-02-16T11:02:00Z"/>
  <w16cex:commentExtensible w16cex:durableId="5CDAAC40" w16cex:dateUtc="2026-02-16T11:08:00Z"/>
  <w16cex:commentExtensible w16cex:durableId="6AB2F7A1" w16cex:dateUtc="2026-02-16T11:13:00Z"/>
  <w16cex:commentExtensible w16cex:durableId="1C16966A" w16cex:dateUtc="2026-02-16T11:12:00Z"/>
  <w16cex:commentExtensible w16cex:durableId="67389265" w16cex:dateUtc="2026-02-16T12:02:00Z"/>
  <w16cex:commentExtensible w16cex:durableId="573C02CD" w16cex:dateUtc="2026-02-16T12:06:00Z"/>
  <w16cex:commentExtensible w16cex:durableId="4D7E5411" w16cex:dateUtc="2026-02-17T10:18:00Z"/>
  <w16cex:commentExtensible w16cex:durableId="60B260E9" w16cex:dateUtc="2026-02-17T10:12:00Z"/>
  <w16cex:commentExtensible w16cex:durableId="3D22A273" w16cex:dateUtc="2026-02-16T16:47:00Z"/>
  <w16cex:commentExtensible w16cex:durableId="3EDC93D9" w16cex:dateUtc="2026-02-16T16:49:00Z"/>
  <w16cex:commentExtensible w16cex:durableId="02C7FB45" w16cex:dateUtc="2026-02-16T16:51:00Z"/>
  <w16cex:commentExtensible w16cex:durableId="2B472D63" w16cex:dateUtc="2026-02-16T16:54:00Z"/>
  <w16cex:commentExtensible w16cex:durableId="76F5567F" w16cex:dateUtc="2026-02-17T11:13:00Z"/>
  <w16cex:commentExtensible w16cex:durableId="1F0A3B62" w16cex:dateUtc="2026-02-16T17:00:00Z"/>
  <w16cex:commentExtensible w16cex:durableId="06CCC614" w16cex:dateUtc="2026-02-16T17:03:00Z"/>
  <w16cex:commentExtensible w16cex:durableId="621CFDA2" w16cex:dateUtc="2026-02-16T17:04:00Z"/>
  <w16cex:commentExtensible w16cex:durableId="2E5BC390" w16cex:dateUtc="2026-02-16T17:09:00Z"/>
  <w16cex:commentExtensible w16cex:durableId="639A61BF" w16cex:dateUtc="2026-02-16T17:10:00Z"/>
  <w16cex:commentExtensible w16cex:durableId="70C7A6E7" w16cex:dateUtc="2026-02-17T09:08:00Z"/>
  <w16cex:commentExtensible w16cex:durableId="769A1783" w16cex:dateUtc="2026-02-17T09:13:00Z"/>
  <w16cex:commentExtensible w16cex:durableId="0EB80F0C" w16cex:dateUtc="2026-02-17T09:21:00Z"/>
  <w16cex:commentExtensible w16cex:durableId="14177709" w16cex:dateUtc="2026-02-17T09:21:00Z"/>
  <w16cex:commentExtensible w16cex:durableId="330A3557" w16cex:dateUtc="2026-02-17T09:24:00Z"/>
  <w16cex:commentExtensible w16cex:durableId="2A884BF4" w16cex:dateUtc="2026-02-17T09:52:00Z"/>
  <w16cex:commentExtensible w16cex:durableId="40F4DFF1" w16cex:dateUtc="2026-02-17T09:58:00Z"/>
  <w16cex:commentExtensible w16cex:durableId="39EB8CA4" w16cex:dateUtc="2026-02-17T09:59:00Z"/>
  <w16cex:commentExtensible w16cex:durableId="275F8527" w16cex:dateUtc="2026-02-17T09:36:00Z"/>
  <w16cex:commentExtensible w16cex:durableId="42748B72" w16cex:dateUtc="2026-02-17T09:39:00Z"/>
  <w16cex:commentExtensible w16cex:durableId="68DD76B0" w16cex:dateUtc="2026-02-17T09:55:00Z"/>
  <w16cex:commentExtensible w16cex:durableId="650B3BA9" w16cex:dateUtc="2026-02-17T09:45:00Z"/>
  <w16cex:commentExtensible w16cex:durableId="52DA62C8" w16cex:dateUtc="2026-02-17T09: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B138F60" w16cid:durableId="5747FE54"/>
  <w16cid:commentId w16cid:paraId="1B978436" w16cid:durableId="02459BB5"/>
  <w16cid:commentId w16cid:paraId="51A998E1" w16cid:durableId="75A9D7D1"/>
  <w16cid:commentId w16cid:paraId="1120A083" w16cid:durableId="5420DC63"/>
  <w16cid:commentId w16cid:paraId="10B953C5" w16cid:durableId="2B086B78"/>
  <w16cid:commentId w16cid:paraId="7461FC79" w16cid:durableId="3FAB0484"/>
  <w16cid:commentId w16cid:paraId="3059967D" w16cid:durableId="698E7024"/>
  <w16cid:commentId w16cid:paraId="495F049D" w16cid:durableId="5CDAAC40"/>
  <w16cid:commentId w16cid:paraId="7B84A0DA" w16cid:durableId="6AB2F7A1"/>
  <w16cid:commentId w16cid:paraId="316191CA" w16cid:durableId="1C16966A"/>
  <w16cid:commentId w16cid:paraId="22ECD0BD" w16cid:durableId="67389265"/>
  <w16cid:commentId w16cid:paraId="17518039" w16cid:durableId="573C02CD"/>
  <w16cid:commentId w16cid:paraId="157C9F08" w16cid:durableId="4D7E5411"/>
  <w16cid:commentId w16cid:paraId="3C9D3FF1" w16cid:durableId="60B260E9"/>
  <w16cid:commentId w16cid:paraId="7EC060EC" w16cid:durableId="3D22A273"/>
  <w16cid:commentId w16cid:paraId="64418BD9" w16cid:durableId="3EDC93D9"/>
  <w16cid:commentId w16cid:paraId="33B33B91" w16cid:durableId="02C7FB45"/>
  <w16cid:commentId w16cid:paraId="0E0AF19F" w16cid:durableId="2B472D63"/>
  <w16cid:commentId w16cid:paraId="1E42BD3D" w16cid:durableId="76F5567F"/>
  <w16cid:commentId w16cid:paraId="33F2B1DE" w16cid:durableId="1F0A3B62"/>
  <w16cid:commentId w16cid:paraId="02283653" w16cid:durableId="06CCC614"/>
  <w16cid:commentId w16cid:paraId="5DDA9DBE" w16cid:durableId="621CFDA2"/>
  <w16cid:commentId w16cid:paraId="0EB19031" w16cid:durableId="2E5BC390"/>
  <w16cid:commentId w16cid:paraId="117F89AC" w16cid:durableId="639A61BF"/>
  <w16cid:commentId w16cid:paraId="154222AC" w16cid:durableId="70C7A6E7"/>
  <w16cid:commentId w16cid:paraId="6BC13E02" w16cid:durableId="769A1783"/>
  <w16cid:commentId w16cid:paraId="3295B7A4" w16cid:durableId="0EB80F0C"/>
  <w16cid:commentId w16cid:paraId="75E56E35" w16cid:durableId="14177709"/>
  <w16cid:commentId w16cid:paraId="20AA9F2E" w16cid:durableId="330A3557"/>
  <w16cid:commentId w16cid:paraId="4CC8E66F" w16cid:durableId="2A884BF4"/>
  <w16cid:commentId w16cid:paraId="74A12494" w16cid:durableId="40F4DFF1"/>
  <w16cid:commentId w16cid:paraId="2B7B330F" w16cid:durableId="39EB8CA4"/>
  <w16cid:commentId w16cid:paraId="149AF822" w16cid:durableId="275F8527"/>
  <w16cid:commentId w16cid:paraId="0FF0C0C3" w16cid:durableId="42748B72"/>
  <w16cid:commentId w16cid:paraId="6F73409D" w16cid:durableId="68DD76B0"/>
  <w16cid:commentId w16cid:paraId="1D3B007F" w16cid:durableId="650B3BA9"/>
  <w16cid:commentId w16cid:paraId="7093DC99" w16cid:durableId="52DA62C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FABFC" w14:textId="77777777" w:rsidR="00C2707E" w:rsidRDefault="00C2707E">
      <w:pPr>
        <w:spacing w:line="240" w:lineRule="auto"/>
      </w:pPr>
      <w:r>
        <w:separator/>
      </w:r>
    </w:p>
  </w:endnote>
  <w:endnote w:type="continuationSeparator" w:id="0">
    <w:p w14:paraId="5387D9C5" w14:textId="77777777" w:rsidR="00C2707E" w:rsidRDefault="00C270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7788171"/>
      <w:docPartObj>
        <w:docPartGallery w:val="Page Numbers (Bottom of Page)"/>
        <w:docPartUnique/>
      </w:docPartObj>
    </w:sdtPr>
    <w:sdtEndPr>
      <w:rPr>
        <w:noProof/>
      </w:rPr>
    </w:sdtEndPr>
    <w:sdtContent>
      <w:p w14:paraId="368C5FC7" w14:textId="77777777" w:rsidR="00AC7F7F" w:rsidRDefault="00AC7F7F">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42431EDF" w14:textId="77777777" w:rsidR="00AC7F7F" w:rsidRDefault="00AC7F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EEF286" w14:textId="77777777" w:rsidR="00C2707E" w:rsidRDefault="00C2707E">
      <w:pPr>
        <w:spacing w:line="240" w:lineRule="auto"/>
      </w:pPr>
      <w:r>
        <w:separator/>
      </w:r>
    </w:p>
  </w:footnote>
  <w:footnote w:type="continuationSeparator" w:id="0">
    <w:p w14:paraId="1174AF32" w14:textId="77777777" w:rsidR="00C2707E" w:rsidRDefault="00C2707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3BD0014"/>
    <w:multiLevelType w:val="multilevel"/>
    <w:tmpl w:val="5C1898C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10C7831"/>
    <w:multiLevelType w:val="hybridMultilevel"/>
    <w:tmpl w:val="84485E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C7A05B8"/>
    <w:multiLevelType w:val="hybridMultilevel"/>
    <w:tmpl w:val="402893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42E7F79"/>
    <w:multiLevelType w:val="hybridMultilevel"/>
    <w:tmpl w:val="0FB4E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7C53987"/>
    <w:multiLevelType w:val="hybridMultilevel"/>
    <w:tmpl w:val="84EE3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8930A10"/>
    <w:multiLevelType w:val="multilevel"/>
    <w:tmpl w:val="7A0A327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6B5B5AE8"/>
    <w:multiLevelType w:val="hybridMultilevel"/>
    <w:tmpl w:val="505435E0"/>
    <w:lvl w:ilvl="0" w:tplc="775A3B3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BB17C90"/>
    <w:multiLevelType w:val="hybridMultilevel"/>
    <w:tmpl w:val="02ACE8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BBE0D3A"/>
    <w:multiLevelType w:val="hybridMultilevel"/>
    <w:tmpl w:val="11D6A6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98986231">
    <w:abstractNumId w:val="2"/>
  </w:num>
  <w:num w:numId="2" w16cid:durableId="1373530935">
    <w:abstractNumId w:val="0"/>
  </w:num>
  <w:num w:numId="3" w16cid:durableId="27726304">
    <w:abstractNumId w:val="4"/>
  </w:num>
  <w:num w:numId="4" w16cid:durableId="1679309727">
    <w:abstractNumId w:val="10"/>
  </w:num>
  <w:num w:numId="5" w16cid:durableId="2060854643">
    <w:abstractNumId w:val="5"/>
  </w:num>
  <w:num w:numId="6" w16cid:durableId="1045180322">
    <w:abstractNumId w:val="1"/>
  </w:num>
  <w:num w:numId="7" w16cid:durableId="1082608413">
    <w:abstractNumId w:val="3"/>
  </w:num>
  <w:num w:numId="8" w16cid:durableId="374626769">
    <w:abstractNumId w:val="7"/>
  </w:num>
  <w:num w:numId="9" w16cid:durableId="333071740">
    <w:abstractNumId w:val="6"/>
  </w:num>
  <w:num w:numId="10" w16cid:durableId="1082028467">
    <w:abstractNumId w:val="8"/>
  </w:num>
  <w:num w:numId="11" w16cid:durableId="1502769802">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ichard Thompson">
    <w15:presenceInfo w15:providerId="AD" w15:userId="S::Richard.Thompson@forestryandland.gov.scot::c86ceddb-1046-4636-b4e5-6167964e03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F72067"/>
    <w:rsid w:val="00095564"/>
    <w:rsid w:val="000C248E"/>
    <w:rsid w:val="000F3D89"/>
    <w:rsid w:val="00121A66"/>
    <w:rsid w:val="001942F0"/>
    <w:rsid w:val="001B27B1"/>
    <w:rsid w:val="00226175"/>
    <w:rsid w:val="00232727"/>
    <w:rsid w:val="002D249C"/>
    <w:rsid w:val="002F490C"/>
    <w:rsid w:val="00350CE5"/>
    <w:rsid w:val="00386E73"/>
    <w:rsid w:val="003C65FC"/>
    <w:rsid w:val="003D504C"/>
    <w:rsid w:val="003F3341"/>
    <w:rsid w:val="00426554"/>
    <w:rsid w:val="00520BA1"/>
    <w:rsid w:val="00580443"/>
    <w:rsid w:val="005A404D"/>
    <w:rsid w:val="005A5794"/>
    <w:rsid w:val="005E3F99"/>
    <w:rsid w:val="006132B6"/>
    <w:rsid w:val="00662F3B"/>
    <w:rsid w:val="00666107"/>
    <w:rsid w:val="00685417"/>
    <w:rsid w:val="006C03D5"/>
    <w:rsid w:val="006D6FEC"/>
    <w:rsid w:val="006E4E98"/>
    <w:rsid w:val="00717F49"/>
    <w:rsid w:val="00750C8E"/>
    <w:rsid w:val="00773AC3"/>
    <w:rsid w:val="0083091C"/>
    <w:rsid w:val="008754BC"/>
    <w:rsid w:val="009117F8"/>
    <w:rsid w:val="00973C24"/>
    <w:rsid w:val="009C37C1"/>
    <w:rsid w:val="00AB4F7A"/>
    <w:rsid w:val="00AC7F7F"/>
    <w:rsid w:val="00B4112C"/>
    <w:rsid w:val="00C077C0"/>
    <w:rsid w:val="00C26A50"/>
    <w:rsid w:val="00C2707E"/>
    <w:rsid w:val="00C90A0B"/>
    <w:rsid w:val="00CA5B81"/>
    <w:rsid w:val="00EB6595"/>
    <w:rsid w:val="00F047B3"/>
    <w:rsid w:val="00F50022"/>
    <w:rsid w:val="00F72067"/>
    <w:rsid w:val="00FB22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EDBEA8"/>
  <w15:chartTrackingRefBased/>
  <w15:docId w15:val="{7CE63FC8-F2BD-42F3-917E-5706DFD08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2067"/>
    <w:pPr>
      <w:spacing w:after="0" w:line="360" w:lineRule="auto"/>
      <w:jc w:val="both"/>
    </w:pPr>
    <w:rPr>
      <w:rFonts w:ascii="Times New Roman" w:eastAsia="Times New Roman" w:hAnsi="Times New Roman" w:cs="Times New Roman"/>
      <w:kern w:val="0"/>
      <w:sz w:val="20"/>
      <w:szCs w:val="24"/>
      <w:lang w:eastAsia="de-DE"/>
      <w14:ligatures w14:val="none"/>
    </w:rPr>
  </w:style>
  <w:style w:type="paragraph" w:styleId="Heading1">
    <w:name w:val="heading 1"/>
    <w:basedOn w:val="Normal"/>
    <w:next w:val="Normal"/>
    <w:link w:val="Heading1Char"/>
    <w:qFormat/>
    <w:rsid w:val="00F72067"/>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F72067"/>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F72067"/>
    <w:pPr>
      <w:keepNext/>
      <w:spacing w:before="240" w:after="240" w:line="240" w:lineRule="auto"/>
      <w:outlineLvl w:val="2"/>
    </w:pPr>
    <w:rPr>
      <w:rFonts w:cs="Arial"/>
      <w:b/>
      <w:bCs/>
      <w:szCs w:val="26"/>
    </w:rPr>
  </w:style>
  <w:style w:type="paragraph" w:styleId="Heading4">
    <w:name w:val="heading 4"/>
    <w:basedOn w:val="Normal"/>
    <w:next w:val="Normal"/>
    <w:link w:val="Heading4Char"/>
    <w:rsid w:val="00F72067"/>
    <w:pPr>
      <w:keepNext/>
      <w:outlineLvl w:val="3"/>
    </w:pPr>
    <w:rPr>
      <w:b/>
      <w:bCs/>
      <w:szCs w:val="28"/>
    </w:rPr>
  </w:style>
  <w:style w:type="paragraph" w:styleId="Heading5">
    <w:name w:val="heading 5"/>
    <w:basedOn w:val="Normal"/>
    <w:next w:val="Normal"/>
    <w:link w:val="Heading5Char"/>
    <w:uiPriority w:val="9"/>
    <w:semiHidden/>
    <w:unhideWhenUsed/>
    <w:qFormat/>
    <w:rsid w:val="00F7206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7206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7206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7206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7206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72067"/>
    <w:rPr>
      <w:rFonts w:ascii="Times New Roman" w:eastAsia="Times New Roman" w:hAnsi="Times New Roman" w:cs="Arial"/>
      <w:b/>
      <w:bCs/>
      <w:color w:val="000000"/>
      <w:kern w:val="32"/>
      <w:sz w:val="20"/>
      <w:szCs w:val="32"/>
      <w:lang w:eastAsia="de-DE"/>
      <w14:ligatures w14:val="none"/>
    </w:rPr>
  </w:style>
  <w:style w:type="character" w:customStyle="1" w:styleId="Heading2Char">
    <w:name w:val="Heading 2 Char"/>
    <w:link w:val="Heading2"/>
    <w:rsid w:val="00F72067"/>
    <w:rPr>
      <w:rFonts w:ascii="Times New Roman" w:eastAsia="Times New Roman" w:hAnsi="Times New Roman" w:cs="Arial"/>
      <w:b/>
      <w:bCs/>
      <w:iCs/>
      <w:kern w:val="0"/>
      <w:sz w:val="20"/>
      <w:szCs w:val="28"/>
      <w:lang w:eastAsia="de-DE"/>
      <w14:ligatures w14:val="none"/>
    </w:rPr>
  </w:style>
  <w:style w:type="character" w:customStyle="1" w:styleId="Heading3Char">
    <w:name w:val="Heading 3 Char"/>
    <w:link w:val="Heading3"/>
    <w:rsid w:val="00F72067"/>
    <w:rPr>
      <w:rFonts w:ascii="Times New Roman" w:eastAsia="Times New Roman" w:hAnsi="Times New Roman" w:cs="Arial"/>
      <w:b/>
      <w:bCs/>
      <w:kern w:val="0"/>
      <w:sz w:val="20"/>
      <w:szCs w:val="26"/>
      <w:lang w:eastAsia="de-DE"/>
      <w14:ligatures w14:val="none"/>
    </w:rPr>
  </w:style>
  <w:style w:type="character" w:customStyle="1" w:styleId="Heading4Char">
    <w:name w:val="Heading 4 Char"/>
    <w:link w:val="Heading4"/>
    <w:rsid w:val="00F72067"/>
    <w:rPr>
      <w:rFonts w:ascii="Times New Roman" w:eastAsia="Times New Roman" w:hAnsi="Times New Roman" w:cs="Times New Roman"/>
      <w:b/>
      <w:bCs/>
      <w:kern w:val="0"/>
      <w:sz w:val="20"/>
      <w:szCs w:val="28"/>
      <w:lang w:eastAsia="de-DE"/>
      <w14:ligatures w14:val="none"/>
    </w:rPr>
  </w:style>
  <w:style w:type="character" w:customStyle="1" w:styleId="Heading5Char">
    <w:name w:val="Heading 5 Char"/>
    <w:basedOn w:val="DefaultParagraphFont"/>
    <w:link w:val="Heading5"/>
    <w:uiPriority w:val="9"/>
    <w:semiHidden/>
    <w:rsid w:val="00F7206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7206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7206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7206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72067"/>
    <w:rPr>
      <w:rFonts w:eastAsiaTheme="majorEastAsia" w:cstheme="majorBidi"/>
      <w:color w:val="272727" w:themeColor="text1" w:themeTint="D8"/>
    </w:rPr>
  </w:style>
  <w:style w:type="paragraph" w:styleId="Title">
    <w:name w:val="Title"/>
    <w:basedOn w:val="Normal"/>
    <w:next w:val="Normal"/>
    <w:link w:val="TitleChar"/>
    <w:uiPriority w:val="10"/>
    <w:qFormat/>
    <w:rsid w:val="00F7206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7206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7206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7206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72067"/>
    <w:pPr>
      <w:spacing w:before="160"/>
      <w:jc w:val="center"/>
    </w:pPr>
    <w:rPr>
      <w:i/>
      <w:iCs/>
      <w:color w:val="404040" w:themeColor="text1" w:themeTint="BF"/>
    </w:rPr>
  </w:style>
  <w:style w:type="character" w:customStyle="1" w:styleId="QuoteChar">
    <w:name w:val="Quote Char"/>
    <w:basedOn w:val="DefaultParagraphFont"/>
    <w:link w:val="Quote"/>
    <w:uiPriority w:val="29"/>
    <w:rsid w:val="00F72067"/>
    <w:rPr>
      <w:i/>
      <w:iCs/>
      <w:color w:val="404040" w:themeColor="text1" w:themeTint="BF"/>
    </w:rPr>
  </w:style>
  <w:style w:type="paragraph" w:styleId="ListParagraph">
    <w:name w:val="List Paragraph"/>
    <w:basedOn w:val="Normal"/>
    <w:uiPriority w:val="34"/>
    <w:qFormat/>
    <w:rsid w:val="00F72067"/>
    <w:pPr>
      <w:ind w:left="720"/>
      <w:contextualSpacing/>
    </w:pPr>
  </w:style>
  <w:style w:type="character" w:styleId="IntenseEmphasis">
    <w:name w:val="Intense Emphasis"/>
    <w:basedOn w:val="DefaultParagraphFont"/>
    <w:uiPriority w:val="21"/>
    <w:qFormat/>
    <w:rsid w:val="00F72067"/>
    <w:rPr>
      <w:i/>
      <w:iCs/>
      <w:color w:val="0F4761" w:themeColor="accent1" w:themeShade="BF"/>
    </w:rPr>
  </w:style>
  <w:style w:type="paragraph" w:styleId="IntenseQuote">
    <w:name w:val="Intense Quote"/>
    <w:basedOn w:val="Normal"/>
    <w:next w:val="Normal"/>
    <w:link w:val="IntenseQuoteChar"/>
    <w:uiPriority w:val="30"/>
    <w:qFormat/>
    <w:rsid w:val="00F7206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72067"/>
    <w:rPr>
      <w:i/>
      <w:iCs/>
      <w:color w:val="0F4761" w:themeColor="accent1" w:themeShade="BF"/>
    </w:rPr>
  </w:style>
  <w:style w:type="character" w:styleId="IntenseReference">
    <w:name w:val="Intense Reference"/>
    <w:basedOn w:val="DefaultParagraphFont"/>
    <w:uiPriority w:val="32"/>
    <w:qFormat/>
    <w:rsid w:val="00F72067"/>
    <w:rPr>
      <w:b/>
      <w:bCs/>
      <w:smallCaps/>
      <w:color w:val="0F4761" w:themeColor="accent1" w:themeShade="BF"/>
      <w:spacing w:val="5"/>
    </w:rPr>
  </w:style>
  <w:style w:type="paragraph" w:customStyle="1" w:styleId="Betreff">
    <w:name w:val="Betreff"/>
    <w:basedOn w:val="Normal"/>
    <w:next w:val="Normal"/>
    <w:rsid w:val="00F72067"/>
    <w:rPr>
      <w:b/>
    </w:rPr>
  </w:style>
  <w:style w:type="paragraph" w:customStyle="1" w:styleId="Bullets">
    <w:name w:val="Bullets"/>
    <w:basedOn w:val="Normal"/>
    <w:link w:val="BulletsChar"/>
    <w:rsid w:val="00F72067"/>
    <w:pPr>
      <w:numPr>
        <w:numId w:val="1"/>
      </w:numPr>
    </w:pPr>
  </w:style>
  <w:style w:type="character" w:customStyle="1" w:styleId="BulletsChar">
    <w:name w:val="Bullets Char"/>
    <w:link w:val="Bullets"/>
    <w:rsid w:val="00F72067"/>
    <w:rPr>
      <w:rFonts w:ascii="Times New Roman" w:eastAsia="Times New Roman" w:hAnsi="Times New Roman" w:cs="Times New Roman"/>
      <w:kern w:val="0"/>
      <w:sz w:val="20"/>
      <w:szCs w:val="24"/>
      <w:lang w:eastAsia="de-DE"/>
      <w14:ligatures w14:val="none"/>
    </w:rPr>
  </w:style>
  <w:style w:type="table" w:customStyle="1" w:styleId="Copernicus">
    <w:name w:val="Copernicus"/>
    <w:basedOn w:val="TableNormal"/>
    <w:rsid w:val="00F72067"/>
    <w:pPr>
      <w:spacing w:after="0" w:line="240" w:lineRule="auto"/>
    </w:pPr>
    <w:rPr>
      <w:rFonts w:ascii="Verdana" w:eastAsia="Times New Roman" w:hAnsi="Verdana" w:cs="Times New Roman"/>
      <w:kern w:val="0"/>
      <w:sz w:val="19"/>
      <w:szCs w:val="20"/>
      <w:lang w:eastAsia="en-GB"/>
      <w14:ligatures w14:val="none"/>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F72067"/>
    <w:pPr>
      <w:tabs>
        <w:tab w:val="center" w:pos="4536"/>
        <w:tab w:val="right" w:pos="9072"/>
      </w:tabs>
    </w:pPr>
  </w:style>
  <w:style w:type="character" w:customStyle="1" w:styleId="HeaderChar">
    <w:name w:val="Header Char"/>
    <w:link w:val="Header"/>
    <w:rsid w:val="00F72067"/>
    <w:rPr>
      <w:rFonts w:ascii="Times New Roman" w:eastAsia="Times New Roman" w:hAnsi="Times New Roman" w:cs="Times New Roman"/>
      <w:kern w:val="0"/>
      <w:sz w:val="20"/>
      <w:szCs w:val="24"/>
      <w:lang w:eastAsia="de-DE"/>
      <w14:ligatures w14:val="none"/>
    </w:rPr>
  </w:style>
  <w:style w:type="character" w:styleId="Hyperlink">
    <w:name w:val="Hyperlink"/>
    <w:rsid w:val="00F72067"/>
    <w:rPr>
      <w:color w:val="0000FF"/>
      <w:u w:val="single"/>
    </w:rPr>
  </w:style>
  <w:style w:type="paragraph" w:customStyle="1" w:styleId="Kontakt">
    <w:name w:val="Kontakt"/>
    <w:basedOn w:val="Normal"/>
    <w:rsid w:val="00F72067"/>
    <w:pPr>
      <w:spacing w:line="160" w:lineRule="exact"/>
    </w:pPr>
    <w:rPr>
      <w:color w:val="808080"/>
      <w:sz w:val="13"/>
    </w:rPr>
  </w:style>
  <w:style w:type="paragraph" w:customStyle="1" w:styleId="Name">
    <w:name w:val="Name"/>
    <w:basedOn w:val="Normal"/>
    <w:rsid w:val="00F72067"/>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F72067"/>
  </w:style>
  <w:style w:type="character" w:customStyle="1" w:styleId="CopernicusWordtemplateChar">
    <w:name w:val="Copernicus_Word_template Char"/>
    <w:basedOn w:val="DefaultParagraphFont"/>
    <w:link w:val="CopernicusWordtemplate"/>
    <w:rsid w:val="00F72067"/>
    <w:rPr>
      <w:rFonts w:ascii="Times New Roman" w:eastAsia="Times New Roman" w:hAnsi="Times New Roman" w:cs="Times New Roman"/>
      <w:kern w:val="0"/>
      <w:sz w:val="20"/>
      <w:szCs w:val="24"/>
      <w:lang w:eastAsia="de-DE"/>
      <w14:ligatures w14:val="none"/>
    </w:rPr>
  </w:style>
  <w:style w:type="character" w:styleId="LineNumber">
    <w:name w:val="line number"/>
    <w:basedOn w:val="DefaultParagraphFont"/>
    <w:uiPriority w:val="99"/>
    <w:semiHidden/>
    <w:unhideWhenUsed/>
    <w:rsid w:val="00F72067"/>
  </w:style>
  <w:style w:type="paragraph" w:customStyle="1" w:styleId="MStitle">
    <w:name w:val="MS title"/>
    <w:basedOn w:val="Normal"/>
    <w:link w:val="MStitleChar"/>
    <w:qFormat/>
    <w:rsid w:val="00F72067"/>
    <w:pPr>
      <w:spacing w:before="360" w:line="440" w:lineRule="exact"/>
      <w:contextualSpacing/>
    </w:pPr>
    <w:rPr>
      <w:b/>
      <w:sz w:val="34"/>
    </w:rPr>
  </w:style>
  <w:style w:type="character" w:customStyle="1" w:styleId="MStitleChar">
    <w:name w:val="MS title Char"/>
    <w:basedOn w:val="DefaultParagraphFont"/>
    <w:link w:val="MStitle"/>
    <w:rsid w:val="00F72067"/>
    <w:rPr>
      <w:rFonts w:ascii="Times New Roman" w:eastAsia="Times New Roman" w:hAnsi="Times New Roman" w:cs="Times New Roman"/>
      <w:b/>
      <w:kern w:val="0"/>
      <w:sz w:val="34"/>
      <w:szCs w:val="24"/>
      <w:lang w:eastAsia="de-DE"/>
      <w14:ligatures w14:val="none"/>
    </w:rPr>
  </w:style>
  <w:style w:type="paragraph" w:customStyle="1" w:styleId="Affiliation">
    <w:name w:val="Affiliation"/>
    <w:basedOn w:val="Normal"/>
    <w:link w:val="AffiliationChar"/>
    <w:qFormat/>
    <w:rsid w:val="00F72067"/>
    <w:pPr>
      <w:spacing w:before="120" w:line="240" w:lineRule="auto"/>
      <w:contextualSpacing/>
    </w:pPr>
  </w:style>
  <w:style w:type="character" w:styleId="PlaceholderText">
    <w:name w:val="Placeholder Text"/>
    <w:basedOn w:val="DefaultParagraphFont"/>
    <w:uiPriority w:val="99"/>
    <w:semiHidden/>
    <w:rsid w:val="00F72067"/>
    <w:rPr>
      <w:color w:val="808080"/>
    </w:rPr>
  </w:style>
  <w:style w:type="character" w:customStyle="1" w:styleId="AffiliationChar">
    <w:name w:val="Affiliation Char"/>
    <w:basedOn w:val="DefaultParagraphFont"/>
    <w:link w:val="Affiliation"/>
    <w:rsid w:val="00F72067"/>
    <w:rPr>
      <w:rFonts w:ascii="Times New Roman" w:eastAsia="Times New Roman" w:hAnsi="Times New Roman" w:cs="Times New Roman"/>
      <w:kern w:val="0"/>
      <w:sz w:val="20"/>
      <w:szCs w:val="24"/>
      <w:lang w:eastAsia="de-DE"/>
      <w14:ligatures w14:val="none"/>
    </w:rPr>
  </w:style>
  <w:style w:type="paragraph" w:styleId="BalloonText">
    <w:name w:val="Balloon Text"/>
    <w:basedOn w:val="Normal"/>
    <w:link w:val="BalloonTextChar"/>
    <w:uiPriority w:val="99"/>
    <w:semiHidden/>
    <w:unhideWhenUsed/>
    <w:rsid w:val="00F7206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2067"/>
    <w:rPr>
      <w:rFonts w:ascii="Tahoma" w:eastAsia="Times New Roman" w:hAnsi="Tahoma" w:cs="Tahoma"/>
      <w:kern w:val="0"/>
      <w:sz w:val="16"/>
      <w:szCs w:val="16"/>
      <w:lang w:eastAsia="de-DE"/>
      <w14:ligatures w14:val="none"/>
    </w:rPr>
  </w:style>
  <w:style w:type="paragraph" w:customStyle="1" w:styleId="Equation">
    <w:name w:val="Equation"/>
    <w:basedOn w:val="Normal"/>
    <w:link w:val="EquationChar"/>
    <w:rsid w:val="00F72067"/>
    <w:pPr>
      <w:spacing w:before="120" w:after="120"/>
    </w:pPr>
    <w:rPr>
      <w:rFonts w:ascii="Cambria Math" w:hAnsi="Cambria Math"/>
    </w:rPr>
  </w:style>
  <w:style w:type="paragraph" w:styleId="Caption">
    <w:name w:val="caption"/>
    <w:basedOn w:val="Normal"/>
    <w:next w:val="Normal"/>
    <w:uiPriority w:val="35"/>
    <w:unhideWhenUsed/>
    <w:qFormat/>
    <w:rsid w:val="00F72067"/>
    <w:pPr>
      <w:spacing w:after="200" w:line="240" w:lineRule="auto"/>
    </w:pPr>
    <w:rPr>
      <w:b/>
      <w:bCs/>
      <w:sz w:val="18"/>
      <w:szCs w:val="18"/>
    </w:rPr>
  </w:style>
  <w:style w:type="character" w:customStyle="1" w:styleId="EquationChar">
    <w:name w:val="Equation Char"/>
    <w:basedOn w:val="DefaultParagraphFont"/>
    <w:link w:val="Equation"/>
    <w:rsid w:val="00F72067"/>
    <w:rPr>
      <w:rFonts w:ascii="Cambria Math" w:eastAsia="Times New Roman" w:hAnsi="Cambria Math" w:cs="Times New Roman"/>
      <w:kern w:val="0"/>
      <w:sz w:val="20"/>
      <w:szCs w:val="24"/>
      <w:lang w:eastAsia="de-DE"/>
      <w14:ligatures w14:val="none"/>
    </w:rPr>
  </w:style>
  <w:style w:type="paragraph" w:styleId="Footer">
    <w:name w:val="footer"/>
    <w:basedOn w:val="Normal"/>
    <w:link w:val="FooterChar"/>
    <w:uiPriority w:val="99"/>
    <w:unhideWhenUsed/>
    <w:rsid w:val="00F72067"/>
    <w:pPr>
      <w:tabs>
        <w:tab w:val="center" w:pos="4513"/>
        <w:tab w:val="right" w:pos="9026"/>
      </w:tabs>
      <w:spacing w:line="240" w:lineRule="auto"/>
    </w:pPr>
  </w:style>
  <w:style w:type="character" w:customStyle="1" w:styleId="FooterChar">
    <w:name w:val="Footer Char"/>
    <w:basedOn w:val="DefaultParagraphFont"/>
    <w:link w:val="Footer"/>
    <w:uiPriority w:val="99"/>
    <w:rsid w:val="00F72067"/>
    <w:rPr>
      <w:rFonts w:ascii="Times New Roman" w:eastAsia="Times New Roman" w:hAnsi="Times New Roman" w:cs="Times New Roman"/>
      <w:kern w:val="0"/>
      <w:sz w:val="20"/>
      <w:szCs w:val="24"/>
      <w:lang w:eastAsia="de-DE"/>
      <w14:ligatures w14:val="none"/>
    </w:rPr>
  </w:style>
  <w:style w:type="paragraph" w:customStyle="1" w:styleId="Correspondence">
    <w:name w:val="Correspondence"/>
    <w:basedOn w:val="Normal"/>
    <w:link w:val="CorrespondenceChar"/>
    <w:qFormat/>
    <w:rsid w:val="00F72067"/>
    <w:pPr>
      <w:spacing w:before="120" w:after="360" w:line="240" w:lineRule="auto"/>
    </w:pPr>
  </w:style>
  <w:style w:type="character" w:customStyle="1" w:styleId="CorrespondenceChar">
    <w:name w:val="Correspondence Char"/>
    <w:basedOn w:val="DefaultParagraphFont"/>
    <w:link w:val="Correspondence"/>
    <w:rsid w:val="00F72067"/>
    <w:rPr>
      <w:rFonts w:ascii="Times New Roman" w:eastAsia="Times New Roman" w:hAnsi="Times New Roman" w:cs="Times New Roman"/>
      <w:kern w:val="0"/>
      <w:sz w:val="20"/>
      <w:szCs w:val="24"/>
      <w:lang w:eastAsia="de-DE"/>
      <w14:ligatures w14:val="none"/>
    </w:rPr>
  </w:style>
  <w:style w:type="paragraph" w:customStyle="1" w:styleId="Authors">
    <w:name w:val="Authors"/>
    <w:basedOn w:val="Normal"/>
    <w:link w:val="AuthorsChar"/>
    <w:qFormat/>
    <w:rsid w:val="00F72067"/>
    <w:pPr>
      <w:spacing w:before="180" w:line="240" w:lineRule="auto"/>
      <w:contextualSpacing/>
    </w:pPr>
    <w:rPr>
      <w:sz w:val="24"/>
    </w:rPr>
  </w:style>
  <w:style w:type="character" w:customStyle="1" w:styleId="AuthorsChar">
    <w:name w:val="Authors Char"/>
    <w:basedOn w:val="DefaultParagraphFont"/>
    <w:link w:val="Authors"/>
    <w:rsid w:val="00F72067"/>
    <w:rPr>
      <w:rFonts w:ascii="Times New Roman" w:eastAsia="Times New Roman" w:hAnsi="Times New Roman" w:cs="Times New Roman"/>
      <w:kern w:val="0"/>
      <w:sz w:val="24"/>
      <w:szCs w:val="24"/>
      <w:lang w:eastAsia="de-DE"/>
      <w14:ligatures w14:val="none"/>
    </w:rPr>
  </w:style>
  <w:style w:type="character" w:styleId="UnresolvedMention">
    <w:name w:val="Unresolved Mention"/>
    <w:basedOn w:val="DefaultParagraphFont"/>
    <w:uiPriority w:val="99"/>
    <w:semiHidden/>
    <w:unhideWhenUsed/>
    <w:rsid w:val="00F72067"/>
    <w:rPr>
      <w:color w:val="605E5C"/>
      <w:shd w:val="clear" w:color="auto" w:fill="E1DFDD"/>
    </w:rPr>
  </w:style>
  <w:style w:type="paragraph" w:customStyle="1" w:styleId="EndNoteBibliographyTitle">
    <w:name w:val="EndNote Bibliography Title"/>
    <w:basedOn w:val="Normal"/>
    <w:link w:val="EndNoteBibliographyTitleChar"/>
    <w:rsid w:val="00F72067"/>
    <w:pPr>
      <w:jc w:val="center"/>
    </w:pPr>
    <w:rPr>
      <w:noProof/>
      <w:sz w:val="18"/>
      <w:lang w:val="de-DE"/>
    </w:rPr>
  </w:style>
  <w:style w:type="character" w:customStyle="1" w:styleId="EndNoteBibliographyTitleChar">
    <w:name w:val="EndNote Bibliography Title Char"/>
    <w:basedOn w:val="DefaultParagraphFont"/>
    <w:link w:val="EndNoteBibliographyTitle"/>
    <w:rsid w:val="00F72067"/>
    <w:rPr>
      <w:rFonts w:ascii="Times New Roman" w:eastAsia="Times New Roman" w:hAnsi="Times New Roman" w:cs="Times New Roman"/>
      <w:noProof/>
      <w:kern w:val="0"/>
      <w:sz w:val="18"/>
      <w:szCs w:val="24"/>
      <w:lang w:val="de-DE" w:eastAsia="de-DE"/>
      <w14:ligatures w14:val="none"/>
    </w:rPr>
  </w:style>
  <w:style w:type="paragraph" w:customStyle="1" w:styleId="EndNoteBibliography">
    <w:name w:val="EndNote Bibliography"/>
    <w:basedOn w:val="Normal"/>
    <w:link w:val="EndNoteBibliographyChar"/>
    <w:rsid w:val="00F72067"/>
    <w:pPr>
      <w:spacing w:line="240" w:lineRule="auto"/>
    </w:pPr>
    <w:rPr>
      <w:noProof/>
      <w:sz w:val="18"/>
      <w:lang w:val="de-DE"/>
    </w:rPr>
  </w:style>
  <w:style w:type="character" w:customStyle="1" w:styleId="EndNoteBibliographyChar">
    <w:name w:val="EndNote Bibliography Char"/>
    <w:basedOn w:val="DefaultParagraphFont"/>
    <w:link w:val="EndNoteBibliography"/>
    <w:rsid w:val="00F72067"/>
    <w:rPr>
      <w:rFonts w:ascii="Times New Roman" w:eastAsia="Times New Roman" w:hAnsi="Times New Roman" w:cs="Times New Roman"/>
      <w:noProof/>
      <w:kern w:val="0"/>
      <w:sz w:val="18"/>
      <w:szCs w:val="24"/>
      <w:lang w:val="de-DE" w:eastAsia="de-DE"/>
      <w14:ligatures w14:val="none"/>
    </w:rPr>
  </w:style>
  <w:style w:type="table" w:styleId="GridTable6ColourfulAccent6">
    <w:name w:val="Grid Table 6 Colorful Accent 6"/>
    <w:basedOn w:val="TableNormal"/>
    <w:uiPriority w:val="51"/>
    <w:rsid w:val="00F72067"/>
    <w:pPr>
      <w:spacing w:after="0" w:line="240" w:lineRule="auto"/>
    </w:pPr>
    <w:rPr>
      <w:color w:val="3A7C22" w:themeColor="accent6" w:themeShade="BF"/>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jc w:val="center"/>
      </w:pPr>
      <w:rPr>
        <w:rFonts w:asciiTheme="minorHAnsi" w:hAnsiTheme="minorHAnsi"/>
        <w:b/>
        <w:bCs/>
        <w:color w:val="FFFFFF" w:themeColor="background1"/>
        <w:sz w:val="22"/>
      </w:rPr>
      <w:tblPr/>
      <w:tcPr>
        <w:shd w:val="clear" w:color="auto" w:fill="3A7C22" w:themeFill="accent6" w:themeFillShade="BF"/>
        <w:vAlign w:val="center"/>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paragraph" w:customStyle="1" w:styleId="TableText">
    <w:name w:val="Table Text"/>
    <w:link w:val="TableTextChar"/>
    <w:uiPriority w:val="11"/>
    <w:qFormat/>
    <w:rsid w:val="00F72067"/>
    <w:pPr>
      <w:spacing w:after="60" w:line="240" w:lineRule="auto"/>
    </w:pPr>
    <w:rPr>
      <w:rFonts w:cstheme="minorHAnsi"/>
      <w:bCs/>
      <w:color w:val="000000" w:themeColor="text1"/>
      <w:kern w:val="0"/>
      <w14:ligatures w14:val="none"/>
    </w:rPr>
  </w:style>
  <w:style w:type="paragraph" w:customStyle="1" w:styleId="TableHeader">
    <w:name w:val="Table Header"/>
    <w:basedOn w:val="Normal"/>
    <w:link w:val="TableHeaderChar"/>
    <w:uiPriority w:val="10"/>
    <w:qFormat/>
    <w:rsid w:val="00F72067"/>
    <w:pPr>
      <w:spacing w:line="276" w:lineRule="auto"/>
      <w:ind w:right="40"/>
      <w:jc w:val="center"/>
    </w:pPr>
    <w:rPr>
      <w:rFonts w:asciiTheme="minorHAnsi" w:eastAsiaTheme="minorHAnsi" w:hAnsiTheme="minorHAnsi" w:cstheme="minorBidi"/>
      <w:b/>
      <w:color w:val="FFFFFF" w:themeColor="background1"/>
      <w:sz w:val="22"/>
      <w:szCs w:val="22"/>
      <w:lang w:eastAsia="en-US"/>
    </w:rPr>
  </w:style>
  <w:style w:type="character" w:customStyle="1" w:styleId="TableTextChar">
    <w:name w:val="Table Text Char"/>
    <w:basedOn w:val="DefaultParagraphFont"/>
    <w:link w:val="TableText"/>
    <w:uiPriority w:val="11"/>
    <w:rsid w:val="00F72067"/>
    <w:rPr>
      <w:rFonts w:cstheme="minorHAnsi"/>
      <w:bCs/>
      <w:color w:val="000000" w:themeColor="text1"/>
      <w:kern w:val="0"/>
      <w14:ligatures w14:val="none"/>
    </w:rPr>
  </w:style>
  <w:style w:type="character" w:customStyle="1" w:styleId="TableHeaderChar">
    <w:name w:val="Table Header Char"/>
    <w:basedOn w:val="DefaultParagraphFont"/>
    <w:link w:val="TableHeader"/>
    <w:uiPriority w:val="10"/>
    <w:rsid w:val="00F72067"/>
    <w:rPr>
      <w:b/>
      <w:color w:val="FFFFFF" w:themeColor="background1"/>
      <w:kern w:val="0"/>
      <w14:ligatures w14:val="none"/>
    </w:rPr>
  </w:style>
  <w:style w:type="character" w:styleId="FollowedHyperlink">
    <w:name w:val="FollowedHyperlink"/>
    <w:basedOn w:val="DefaultParagraphFont"/>
    <w:uiPriority w:val="99"/>
    <w:semiHidden/>
    <w:unhideWhenUsed/>
    <w:rsid w:val="00F72067"/>
    <w:rPr>
      <w:color w:val="96607D" w:themeColor="followedHyperlink"/>
      <w:u w:val="single"/>
    </w:rPr>
  </w:style>
  <w:style w:type="character" w:styleId="CommentReference">
    <w:name w:val="annotation reference"/>
    <w:basedOn w:val="DefaultParagraphFont"/>
    <w:uiPriority w:val="99"/>
    <w:semiHidden/>
    <w:unhideWhenUsed/>
    <w:rsid w:val="00F72067"/>
    <w:rPr>
      <w:sz w:val="16"/>
      <w:szCs w:val="16"/>
    </w:rPr>
  </w:style>
  <w:style w:type="paragraph" w:styleId="CommentText">
    <w:name w:val="annotation text"/>
    <w:basedOn w:val="Normal"/>
    <w:link w:val="CommentTextChar"/>
    <w:uiPriority w:val="99"/>
    <w:unhideWhenUsed/>
    <w:rsid w:val="00F72067"/>
    <w:pPr>
      <w:spacing w:line="240" w:lineRule="auto"/>
    </w:pPr>
    <w:rPr>
      <w:szCs w:val="20"/>
    </w:rPr>
  </w:style>
  <w:style w:type="character" w:customStyle="1" w:styleId="CommentTextChar">
    <w:name w:val="Comment Text Char"/>
    <w:basedOn w:val="DefaultParagraphFont"/>
    <w:link w:val="CommentText"/>
    <w:uiPriority w:val="99"/>
    <w:rsid w:val="00F72067"/>
    <w:rPr>
      <w:rFonts w:ascii="Times New Roman" w:eastAsia="Times New Roman" w:hAnsi="Times New Roman" w:cs="Times New Roman"/>
      <w:kern w:val="0"/>
      <w:sz w:val="20"/>
      <w:szCs w:val="20"/>
      <w:lang w:eastAsia="de-DE"/>
      <w14:ligatures w14:val="none"/>
    </w:rPr>
  </w:style>
  <w:style w:type="paragraph" w:styleId="CommentSubject">
    <w:name w:val="annotation subject"/>
    <w:basedOn w:val="CommentText"/>
    <w:next w:val="CommentText"/>
    <w:link w:val="CommentSubjectChar"/>
    <w:uiPriority w:val="99"/>
    <w:semiHidden/>
    <w:unhideWhenUsed/>
    <w:rsid w:val="00F72067"/>
    <w:rPr>
      <w:b/>
      <w:bCs/>
    </w:rPr>
  </w:style>
  <w:style w:type="character" w:customStyle="1" w:styleId="CommentSubjectChar">
    <w:name w:val="Comment Subject Char"/>
    <w:basedOn w:val="CommentTextChar"/>
    <w:link w:val="CommentSubject"/>
    <w:uiPriority w:val="99"/>
    <w:semiHidden/>
    <w:rsid w:val="00F72067"/>
    <w:rPr>
      <w:rFonts w:ascii="Times New Roman" w:eastAsia="Times New Roman" w:hAnsi="Times New Roman" w:cs="Times New Roman"/>
      <w:b/>
      <w:bCs/>
      <w:kern w:val="0"/>
      <w:sz w:val="20"/>
      <w:szCs w:val="20"/>
      <w:lang w:eastAsia="de-DE"/>
      <w14:ligatures w14:val="none"/>
    </w:rPr>
  </w:style>
  <w:style w:type="character" w:styleId="Emphasis">
    <w:name w:val="Emphasis"/>
    <w:basedOn w:val="DefaultParagraphFont"/>
    <w:uiPriority w:val="20"/>
    <w:qFormat/>
    <w:rsid w:val="00F72067"/>
    <w:rPr>
      <w:i/>
      <w:iCs/>
    </w:rPr>
  </w:style>
  <w:style w:type="paragraph" w:styleId="Revision">
    <w:name w:val="Revision"/>
    <w:hidden/>
    <w:uiPriority w:val="99"/>
    <w:semiHidden/>
    <w:rsid w:val="00F72067"/>
    <w:pPr>
      <w:spacing w:after="0" w:line="240" w:lineRule="auto"/>
    </w:pPr>
    <w:rPr>
      <w:rFonts w:ascii="Times New Roman" w:eastAsia="Times New Roman" w:hAnsi="Times New Roman" w:cs="Times New Roman"/>
      <w:kern w:val="0"/>
      <w:sz w:val="20"/>
      <w:szCs w:val="24"/>
      <w:lang w:eastAsia="de-DE"/>
      <w14:ligatures w14:val="none"/>
    </w:rPr>
  </w:style>
  <w:style w:type="paragraph" w:styleId="NormalWeb">
    <w:name w:val="Normal (Web)"/>
    <w:basedOn w:val="Normal"/>
    <w:uiPriority w:val="99"/>
    <w:semiHidden/>
    <w:unhideWhenUsed/>
    <w:rsid w:val="00F72067"/>
    <w:pPr>
      <w:spacing w:before="100" w:beforeAutospacing="1" w:after="100" w:afterAutospacing="1" w:line="240" w:lineRule="auto"/>
      <w:jc w:val="left"/>
    </w:pPr>
    <w:rPr>
      <w:sz w:val="24"/>
      <w:lang w:eastAsia="en-GB"/>
    </w:rPr>
  </w:style>
  <w:style w:type="table" w:styleId="TableGrid">
    <w:name w:val="Table Grid"/>
    <w:basedOn w:val="TableNormal"/>
    <w:uiPriority w:val="59"/>
    <w:rsid w:val="00F72067"/>
    <w:pPr>
      <w:spacing w:after="0" w:line="240" w:lineRule="auto"/>
    </w:pPr>
    <w:rPr>
      <w:rFonts w:ascii="Calibri" w:eastAsia="SimSun" w:hAnsi="Calibri" w:cs="Times New Roman"/>
      <w:kern w:val="0"/>
      <w:sz w:val="20"/>
      <w:szCs w:val="20"/>
      <w:lang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3.jpeg"/><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chart" Target="charts/chart2.xml"/><Relationship Id="rId25" Type="http://schemas.openxmlformats.org/officeDocument/2006/relationships/hyperlink" Target="https://www.sciencedirect.com/topics/agricultural-and-biological-sciences/tree-growth"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4.xml"/><Relationship Id="rId29" Type="http://schemas.openxmlformats.org/officeDocument/2006/relationships/hyperlink" Target="https://www.nationalarchives.gov.uk/doc/open-government-licence/version/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5.jpe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chart" Target="charts/chart6.xml"/><Relationship Id="rId28" Type="http://schemas.openxmlformats.org/officeDocument/2006/relationships/hyperlink" Target="https://eidc.ceh.ac.uk/licences/OGL/plain" TargetMode="External"/><Relationship Id="rId10" Type="http://schemas.openxmlformats.org/officeDocument/2006/relationships/image" Target="media/image1.jpeg"/><Relationship Id="rId19" Type="http://schemas.openxmlformats.org/officeDocument/2006/relationships/chart" Target="charts/chart3.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i.org/10.5285/5e268e86-4a4f-4112-bf2d-c3b0179c915c" TargetMode="External"/><Relationship Id="rId14" Type="http://schemas.microsoft.com/office/2018/08/relationships/commentsExtensible" Target="commentsExtensible.xml"/><Relationship Id="rId22" Type="http://schemas.openxmlformats.org/officeDocument/2006/relationships/chart" Target="charts/chart5.xml"/><Relationship Id="rId27" Type="http://schemas.openxmlformats.org/officeDocument/2006/relationships/hyperlink" Target="https://doi.org/10.5285/5e268e86-4a4f-4112-bf2d-c3b0179c915c" TargetMode="External"/><Relationship Id="rId30" Type="http://schemas.openxmlformats.org/officeDocument/2006/relationships/footer" Target="footer1.xml"/><Relationship Id="rId8" Type="http://schemas.openxmlformats.org/officeDocument/2006/relationships/hyperlink" Target="mailto:clamw@ceh.ac..uk"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nerclactdb\projects\projects1\CWI-WT%20Bunce%20Surveys%2007559\Survey%202020-22\Papers\Data_papers_CW\Pinewoods\Analyses\Stem_coun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nerclactdb\projects\projects1\CWI-WT%20Bunce%20Surveys%2007559\Survey%202020-22\Papers\Data_papers_CW\Pinewoods\Analyses\Stem_coun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nerclactdb\projects\projects1\CWI-WT%20Bunce%20Surveys%2007559\Survey%202020-22\Papers\Data_papers_CW\Pinewoods\Analyses\DBH_Anlyse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nerclactdb\projects\projects1\CWI-WT%20Bunce%20Surveys%2007559\Survey%202020-22\Papers\Data_papers_CW\Pinewoods\Analyses\Map%20analyses\SP_Data_to_map_incr_decr_CHART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nerclactdb\projects\projects1\CWI-WT%20Bunce%20Surveys%2007559\Survey%202020-22\Papers\Data_papers_CW\Pinewoods\Analyses\Top_sp.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nerclactdb\projects\projects1\CWI-WT%20Bunce%20Surveys%2007559\Survey%202020-22\Papers\Data_papers_CW\Pinewoods\Analyses\Map%20analyses\SP_Data_to_map_incr_decr_CHAR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'Overall tree sp'!$H$1</c:f>
              <c:strCache>
                <c:ptCount val="1"/>
                <c:pt idx="0">
                  <c:v>1971</c:v>
                </c:pt>
              </c:strCache>
            </c:strRef>
          </c:tx>
          <c:spPr>
            <a:solidFill>
              <a:schemeClr val="bg1">
                <a:lumMod val="75000"/>
              </a:schemeClr>
            </a:solidFill>
            <a:ln>
              <a:solidFill>
                <a:schemeClr val="tx1"/>
              </a:solidFill>
            </a:ln>
            <a:effectLst/>
          </c:spPr>
          <c:invertIfNegative val="0"/>
          <c:cat>
            <c:strRef>
              <c:f>'Overall tree sp'!$G$2:$G$11</c:f>
              <c:strCache>
                <c:ptCount val="10"/>
                <c:pt idx="0">
                  <c:v>Pinus sylvestris</c:v>
                </c:pt>
                <c:pt idx="1">
                  <c:v>Betula spp.</c:v>
                </c:pt>
                <c:pt idx="2">
                  <c:v>Sorbus aucuparia</c:v>
                </c:pt>
                <c:pt idx="3">
                  <c:v>Salix spp.</c:v>
                </c:pt>
                <c:pt idx="4">
                  <c:v>Juniperus spp.</c:v>
                </c:pt>
                <c:pt idx="5">
                  <c:v>Populus tremula</c:v>
                </c:pt>
                <c:pt idx="6">
                  <c:v>Ilex aquifolium</c:v>
                </c:pt>
                <c:pt idx="7">
                  <c:v>Alnus glutinosa</c:v>
                </c:pt>
                <c:pt idx="8">
                  <c:v>Fraxinus excelsior</c:v>
                </c:pt>
                <c:pt idx="9">
                  <c:v>Quercus spp.</c:v>
                </c:pt>
              </c:strCache>
            </c:strRef>
          </c:cat>
          <c:val>
            <c:numRef>
              <c:f>'Overall tree sp'!$H$2:$H$11</c:f>
              <c:numCache>
                <c:formatCode>General</c:formatCode>
                <c:ptCount val="10"/>
                <c:pt idx="0">
                  <c:v>2113</c:v>
                </c:pt>
                <c:pt idx="1">
                  <c:v>1688</c:v>
                </c:pt>
                <c:pt idx="2">
                  <c:v>334</c:v>
                </c:pt>
                <c:pt idx="3">
                  <c:v>387</c:v>
                </c:pt>
                <c:pt idx="4">
                  <c:v>244</c:v>
                </c:pt>
                <c:pt idx="5">
                  <c:v>9</c:v>
                </c:pt>
                <c:pt idx="7">
                  <c:v>87</c:v>
                </c:pt>
                <c:pt idx="9">
                  <c:v>1</c:v>
                </c:pt>
              </c:numCache>
            </c:numRef>
          </c:val>
          <c:extLst>
            <c:ext xmlns:c16="http://schemas.microsoft.com/office/drawing/2014/chart" uri="{C3380CC4-5D6E-409C-BE32-E72D297353CC}">
              <c16:uniqueId val="{00000000-AFA0-4648-9293-DC44B6B0B584}"/>
            </c:ext>
          </c:extLst>
        </c:ser>
        <c:ser>
          <c:idx val="1"/>
          <c:order val="1"/>
          <c:tx>
            <c:strRef>
              <c:f>'Overall tree sp'!$I$1</c:f>
              <c:strCache>
                <c:ptCount val="1"/>
                <c:pt idx="0">
                  <c:v>2022</c:v>
                </c:pt>
              </c:strCache>
            </c:strRef>
          </c:tx>
          <c:spPr>
            <a:solidFill>
              <a:schemeClr val="tx1"/>
            </a:solidFill>
            <a:ln>
              <a:noFill/>
            </a:ln>
            <a:effectLst/>
          </c:spPr>
          <c:invertIfNegative val="0"/>
          <c:cat>
            <c:strRef>
              <c:f>'Overall tree sp'!$G$2:$G$11</c:f>
              <c:strCache>
                <c:ptCount val="10"/>
                <c:pt idx="0">
                  <c:v>Pinus sylvestris</c:v>
                </c:pt>
                <c:pt idx="1">
                  <c:v>Betula spp.</c:v>
                </c:pt>
                <c:pt idx="2">
                  <c:v>Sorbus aucuparia</c:v>
                </c:pt>
                <c:pt idx="3">
                  <c:v>Salix spp.</c:v>
                </c:pt>
                <c:pt idx="4">
                  <c:v>Juniperus spp.</c:v>
                </c:pt>
                <c:pt idx="5">
                  <c:v>Populus tremula</c:v>
                </c:pt>
                <c:pt idx="6">
                  <c:v>Ilex aquifolium</c:v>
                </c:pt>
                <c:pt idx="7">
                  <c:v>Alnus glutinosa</c:v>
                </c:pt>
                <c:pt idx="8">
                  <c:v>Fraxinus excelsior</c:v>
                </c:pt>
                <c:pt idx="9">
                  <c:v>Quercus spp.</c:v>
                </c:pt>
              </c:strCache>
            </c:strRef>
          </c:cat>
          <c:val>
            <c:numRef>
              <c:f>'Overall tree sp'!$I$2:$I$11</c:f>
              <c:numCache>
                <c:formatCode>General</c:formatCode>
                <c:ptCount val="10"/>
                <c:pt idx="0">
                  <c:v>2265</c:v>
                </c:pt>
                <c:pt idx="1">
                  <c:v>2221</c:v>
                </c:pt>
                <c:pt idx="2">
                  <c:v>96</c:v>
                </c:pt>
                <c:pt idx="3">
                  <c:v>90</c:v>
                </c:pt>
                <c:pt idx="4">
                  <c:v>71</c:v>
                </c:pt>
                <c:pt idx="5">
                  <c:v>23</c:v>
                </c:pt>
                <c:pt idx="6">
                  <c:v>20</c:v>
                </c:pt>
                <c:pt idx="7">
                  <c:v>13</c:v>
                </c:pt>
                <c:pt idx="8">
                  <c:v>3</c:v>
                </c:pt>
                <c:pt idx="9">
                  <c:v>8</c:v>
                </c:pt>
              </c:numCache>
            </c:numRef>
          </c:val>
          <c:extLst>
            <c:ext xmlns:c16="http://schemas.microsoft.com/office/drawing/2014/chart" uri="{C3380CC4-5D6E-409C-BE32-E72D297353CC}">
              <c16:uniqueId val="{00000001-AFA0-4648-9293-DC44B6B0B584}"/>
            </c:ext>
          </c:extLst>
        </c:ser>
        <c:dLbls>
          <c:showLegendKey val="0"/>
          <c:showVal val="0"/>
          <c:showCatName val="0"/>
          <c:showSerName val="0"/>
          <c:showPercent val="0"/>
          <c:showBubbleSize val="0"/>
        </c:dLbls>
        <c:gapWidth val="219"/>
        <c:overlap val="-27"/>
        <c:axId val="667918624"/>
        <c:axId val="667920424"/>
      </c:barChart>
      <c:catAx>
        <c:axId val="6679186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Tree species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67920424"/>
        <c:crosses val="autoZero"/>
        <c:auto val="1"/>
        <c:lblAlgn val="ctr"/>
        <c:lblOffset val="100"/>
        <c:noMultiLvlLbl val="0"/>
      </c:catAx>
      <c:valAx>
        <c:axId val="6679204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 of stems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67918624"/>
        <c:crosses val="autoZero"/>
        <c:crossBetween val="between"/>
        <c:majorUnit val="25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'Overall tree sp'!$L$1</c:f>
              <c:strCache>
                <c:ptCount val="1"/>
                <c:pt idx="0">
                  <c:v>1971</c:v>
                </c:pt>
              </c:strCache>
            </c:strRef>
          </c:tx>
          <c:spPr>
            <a:solidFill>
              <a:schemeClr val="bg1">
                <a:lumMod val="75000"/>
              </a:schemeClr>
            </a:solidFill>
            <a:ln>
              <a:solidFill>
                <a:schemeClr val="tx1">
                  <a:lumMod val="95000"/>
                  <a:lumOff val="5000"/>
                </a:schemeClr>
              </a:solidFill>
            </a:ln>
            <a:effectLst/>
          </c:spPr>
          <c:invertIfNegative val="0"/>
          <c:cat>
            <c:strRef>
              <c:f>'Overall tree sp'!$K$2:$K$7</c:f>
              <c:strCache>
                <c:ptCount val="6"/>
                <c:pt idx="0">
                  <c:v>Picea abies</c:v>
                </c:pt>
                <c:pt idx="1">
                  <c:v>Picea sitchensis</c:v>
                </c:pt>
                <c:pt idx="2">
                  <c:v>Larix spp.</c:v>
                </c:pt>
                <c:pt idx="3">
                  <c:v>Pinus contorta</c:v>
                </c:pt>
                <c:pt idx="4">
                  <c:v>Pseudotsuga menziesii</c:v>
                </c:pt>
                <c:pt idx="5">
                  <c:v>Pinus nigra</c:v>
                </c:pt>
              </c:strCache>
            </c:strRef>
          </c:cat>
          <c:val>
            <c:numRef>
              <c:f>'Overall tree sp'!$L$2:$L$7</c:f>
              <c:numCache>
                <c:formatCode>General</c:formatCode>
                <c:ptCount val="6"/>
                <c:pt idx="0">
                  <c:v>439</c:v>
                </c:pt>
                <c:pt idx="1">
                  <c:v>213</c:v>
                </c:pt>
                <c:pt idx="2">
                  <c:v>132</c:v>
                </c:pt>
                <c:pt idx="3">
                  <c:v>131</c:v>
                </c:pt>
                <c:pt idx="4">
                  <c:v>69</c:v>
                </c:pt>
                <c:pt idx="5">
                  <c:v>12</c:v>
                </c:pt>
              </c:numCache>
            </c:numRef>
          </c:val>
          <c:extLst>
            <c:ext xmlns:c16="http://schemas.microsoft.com/office/drawing/2014/chart" uri="{C3380CC4-5D6E-409C-BE32-E72D297353CC}">
              <c16:uniqueId val="{00000000-1C56-4108-860E-244CFAEF5BEE}"/>
            </c:ext>
          </c:extLst>
        </c:ser>
        <c:ser>
          <c:idx val="1"/>
          <c:order val="1"/>
          <c:tx>
            <c:strRef>
              <c:f>'Overall tree sp'!$M$1</c:f>
              <c:strCache>
                <c:ptCount val="1"/>
                <c:pt idx="0">
                  <c:v>2022</c:v>
                </c:pt>
              </c:strCache>
            </c:strRef>
          </c:tx>
          <c:spPr>
            <a:solidFill>
              <a:schemeClr val="tx1">
                <a:lumMod val="95000"/>
                <a:lumOff val="5000"/>
              </a:schemeClr>
            </a:solidFill>
            <a:ln>
              <a:noFill/>
            </a:ln>
            <a:effectLst/>
          </c:spPr>
          <c:invertIfNegative val="0"/>
          <c:cat>
            <c:strRef>
              <c:f>'Overall tree sp'!$K$2:$K$7</c:f>
              <c:strCache>
                <c:ptCount val="6"/>
                <c:pt idx="0">
                  <c:v>Picea abies</c:v>
                </c:pt>
                <c:pt idx="1">
                  <c:v>Picea sitchensis</c:v>
                </c:pt>
                <c:pt idx="2">
                  <c:v>Larix spp.</c:v>
                </c:pt>
                <c:pt idx="3">
                  <c:v>Pinus contorta</c:v>
                </c:pt>
                <c:pt idx="4">
                  <c:v>Pseudotsuga menziesii</c:v>
                </c:pt>
                <c:pt idx="5">
                  <c:v>Pinus nigra</c:v>
                </c:pt>
              </c:strCache>
            </c:strRef>
          </c:cat>
          <c:val>
            <c:numRef>
              <c:f>'Overall tree sp'!$M$2:$M$7</c:f>
              <c:numCache>
                <c:formatCode>General</c:formatCode>
                <c:ptCount val="6"/>
                <c:pt idx="0">
                  <c:v>244</c:v>
                </c:pt>
                <c:pt idx="1">
                  <c:v>86</c:v>
                </c:pt>
                <c:pt idx="2">
                  <c:v>23</c:v>
                </c:pt>
                <c:pt idx="3">
                  <c:v>44</c:v>
                </c:pt>
                <c:pt idx="4">
                  <c:v>16</c:v>
                </c:pt>
                <c:pt idx="5">
                  <c:v>24</c:v>
                </c:pt>
              </c:numCache>
            </c:numRef>
          </c:val>
          <c:extLst>
            <c:ext xmlns:c16="http://schemas.microsoft.com/office/drawing/2014/chart" uri="{C3380CC4-5D6E-409C-BE32-E72D297353CC}">
              <c16:uniqueId val="{00000001-1C56-4108-860E-244CFAEF5BEE}"/>
            </c:ext>
          </c:extLst>
        </c:ser>
        <c:dLbls>
          <c:showLegendKey val="0"/>
          <c:showVal val="0"/>
          <c:showCatName val="0"/>
          <c:showSerName val="0"/>
          <c:showPercent val="0"/>
          <c:showBubbleSize val="0"/>
        </c:dLbls>
        <c:gapWidth val="219"/>
        <c:overlap val="-27"/>
        <c:axId val="661611568"/>
        <c:axId val="661607968"/>
      </c:barChart>
      <c:catAx>
        <c:axId val="66161156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r>
                  <a:rPr lang="en-GB">
                    <a:solidFill>
                      <a:schemeClr val="tx1">
                        <a:lumMod val="95000"/>
                        <a:lumOff val="5000"/>
                      </a:schemeClr>
                    </a:solidFill>
                  </a:rPr>
                  <a:t>Non-native tree species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crossAx val="661607968"/>
        <c:crosses val="autoZero"/>
        <c:auto val="1"/>
        <c:lblAlgn val="ctr"/>
        <c:lblOffset val="100"/>
        <c:noMultiLvlLbl val="0"/>
      </c:catAx>
      <c:valAx>
        <c:axId val="6616079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r>
                  <a:rPr lang="en-GB">
                    <a:solidFill>
                      <a:schemeClr val="tx1">
                        <a:lumMod val="95000"/>
                        <a:lumOff val="5000"/>
                      </a:schemeClr>
                    </a:solidFill>
                  </a:rPr>
                  <a:t>No. of occurrences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crossAx val="661611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95000"/>
          <a:lumOff val="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[DBH_Anlyses.xlsx]GlenTanar!$J$1</c:f>
              <c:strCache>
                <c:ptCount val="1"/>
                <c:pt idx="0">
                  <c:v>1971</c:v>
                </c:pt>
              </c:strCache>
            </c:strRef>
          </c:tx>
          <c:spPr>
            <a:solidFill>
              <a:schemeClr val="bg1">
                <a:lumMod val="75000"/>
              </a:schemeClr>
            </a:solidFill>
            <a:ln>
              <a:solidFill>
                <a:schemeClr val="tx1"/>
              </a:solidFill>
            </a:ln>
            <a:effectLst/>
          </c:spPr>
          <c:invertIfNegative val="0"/>
          <c:cat>
            <c:strRef>
              <c:f>[DBH_Anlyses.xlsx]GlenTanar!$I$2:$I$19</c:f>
              <c:strCache>
                <c:ptCount val="18"/>
                <c:pt idx="0">
                  <c:v>0-5cm</c:v>
                </c:pt>
                <c:pt idx="1">
                  <c:v>5-10cm</c:v>
                </c:pt>
                <c:pt idx="2">
                  <c:v>10-15cm</c:v>
                </c:pt>
                <c:pt idx="3">
                  <c:v>15-20cm</c:v>
                </c:pt>
                <c:pt idx="4">
                  <c:v>20-25cm</c:v>
                </c:pt>
                <c:pt idx="5">
                  <c:v>25-30cm</c:v>
                </c:pt>
                <c:pt idx="6">
                  <c:v>30-35cm</c:v>
                </c:pt>
                <c:pt idx="7">
                  <c:v>35-40cm</c:v>
                </c:pt>
                <c:pt idx="8">
                  <c:v>40-45cm</c:v>
                </c:pt>
                <c:pt idx="9">
                  <c:v>45-50cm</c:v>
                </c:pt>
                <c:pt idx="10">
                  <c:v>50-55cm</c:v>
                </c:pt>
                <c:pt idx="11">
                  <c:v>55-60cm</c:v>
                </c:pt>
                <c:pt idx="12">
                  <c:v>60-65cm</c:v>
                </c:pt>
                <c:pt idx="13">
                  <c:v>65-70cm</c:v>
                </c:pt>
                <c:pt idx="14">
                  <c:v>70-75cm</c:v>
                </c:pt>
                <c:pt idx="15">
                  <c:v>75-80cm</c:v>
                </c:pt>
                <c:pt idx="16">
                  <c:v>80-85cm</c:v>
                </c:pt>
                <c:pt idx="17">
                  <c:v>85-90cm</c:v>
                </c:pt>
              </c:strCache>
            </c:strRef>
          </c:cat>
          <c:val>
            <c:numRef>
              <c:f>[DBH_Anlyses.xlsx]GlenTanar!$J$2:$J$19</c:f>
              <c:numCache>
                <c:formatCode>General</c:formatCode>
                <c:ptCount val="18"/>
                <c:pt idx="0">
                  <c:v>18</c:v>
                </c:pt>
                <c:pt idx="1">
                  <c:v>14</c:v>
                </c:pt>
                <c:pt idx="2">
                  <c:v>10</c:v>
                </c:pt>
                <c:pt idx="3">
                  <c:v>4</c:v>
                </c:pt>
                <c:pt idx="4">
                  <c:v>0</c:v>
                </c:pt>
                <c:pt idx="5">
                  <c:v>3</c:v>
                </c:pt>
                <c:pt idx="6">
                  <c:v>4</c:v>
                </c:pt>
                <c:pt idx="7">
                  <c:v>4</c:v>
                </c:pt>
                <c:pt idx="8">
                  <c:v>2</c:v>
                </c:pt>
                <c:pt idx="9">
                  <c:v>4</c:v>
                </c:pt>
                <c:pt idx="10">
                  <c:v>1</c:v>
                </c:pt>
                <c:pt idx="11">
                  <c:v>2</c:v>
                </c:pt>
                <c:pt idx="12">
                  <c:v>1</c:v>
                </c:pt>
                <c:pt idx="13">
                  <c:v>0</c:v>
                </c:pt>
                <c:pt idx="14">
                  <c:v>0</c:v>
                </c:pt>
                <c:pt idx="15">
                  <c:v>1</c:v>
                </c:pt>
                <c:pt idx="16">
                  <c:v>0</c:v>
                </c:pt>
                <c:pt idx="17">
                  <c:v>0</c:v>
                </c:pt>
              </c:numCache>
            </c:numRef>
          </c:val>
          <c:extLst>
            <c:ext xmlns:c16="http://schemas.microsoft.com/office/drawing/2014/chart" uri="{C3380CC4-5D6E-409C-BE32-E72D297353CC}">
              <c16:uniqueId val="{00000000-090E-40BB-9BE3-967B7F8FDD0B}"/>
            </c:ext>
          </c:extLst>
        </c:ser>
        <c:ser>
          <c:idx val="1"/>
          <c:order val="1"/>
          <c:tx>
            <c:strRef>
              <c:f>[DBH_Anlyses.xlsx]GlenTanar!$K$1</c:f>
              <c:strCache>
                <c:ptCount val="1"/>
                <c:pt idx="0">
                  <c:v>2022</c:v>
                </c:pt>
              </c:strCache>
            </c:strRef>
          </c:tx>
          <c:spPr>
            <a:solidFill>
              <a:schemeClr val="tx1"/>
            </a:solidFill>
            <a:ln>
              <a:noFill/>
            </a:ln>
            <a:effectLst/>
          </c:spPr>
          <c:invertIfNegative val="0"/>
          <c:cat>
            <c:strRef>
              <c:f>[DBH_Anlyses.xlsx]GlenTanar!$I$2:$I$19</c:f>
              <c:strCache>
                <c:ptCount val="18"/>
                <c:pt idx="0">
                  <c:v>0-5cm</c:v>
                </c:pt>
                <c:pt idx="1">
                  <c:v>5-10cm</c:v>
                </c:pt>
                <c:pt idx="2">
                  <c:v>10-15cm</c:v>
                </c:pt>
                <c:pt idx="3">
                  <c:v>15-20cm</c:v>
                </c:pt>
                <c:pt idx="4">
                  <c:v>20-25cm</c:v>
                </c:pt>
                <c:pt idx="5">
                  <c:v>25-30cm</c:v>
                </c:pt>
                <c:pt idx="6">
                  <c:v>30-35cm</c:v>
                </c:pt>
                <c:pt idx="7">
                  <c:v>35-40cm</c:v>
                </c:pt>
                <c:pt idx="8">
                  <c:v>40-45cm</c:v>
                </c:pt>
                <c:pt idx="9">
                  <c:v>45-50cm</c:v>
                </c:pt>
                <c:pt idx="10">
                  <c:v>50-55cm</c:v>
                </c:pt>
                <c:pt idx="11">
                  <c:v>55-60cm</c:v>
                </c:pt>
                <c:pt idx="12">
                  <c:v>60-65cm</c:v>
                </c:pt>
                <c:pt idx="13">
                  <c:v>65-70cm</c:v>
                </c:pt>
                <c:pt idx="14">
                  <c:v>70-75cm</c:v>
                </c:pt>
                <c:pt idx="15">
                  <c:v>75-80cm</c:v>
                </c:pt>
                <c:pt idx="16">
                  <c:v>80-85cm</c:v>
                </c:pt>
                <c:pt idx="17">
                  <c:v>85-90cm</c:v>
                </c:pt>
              </c:strCache>
            </c:strRef>
          </c:cat>
          <c:val>
            <c:numRef>
              <c:f>[DBH_Anlyses.xlsx]GlenTanar!$K$2:$K$19</c:f>
              <c:numCache>
                <c:formatCode>General</c:formatCode>
                <c:ptCount val="18"/>
                <c:pt idx="0">
                  <c:v>26</c:v>
                </c:pt>
                <c:pt idx="1">
                  <c:v>39</c:v>
                </c:pt>
                <c:pt idx="2">
                  <c:v>23</c:v>
                </c:pt>
                <c:pt idx="3">
                  <c:v>22</c:v>
                </c:pt>
                <c:pt idx="4">
                  <c:v>8</c:v>
                </c:pt>
                <c:pt idx="5">
                  <c:v>8</c:v>
                </c:pt>
                <c:pt idx="6">
                  <c:v>7</c:v>
                </c:pt>
                <c:pt idx="7">
                  <c:v>5</c:v>
                </c:pt>
                <c:pt idx="8">
                  <c:v>3</c:v>
                </c:pt>
                <c:pt idx="9">
                  <c:v>1</c:v>
                </c:pt>
                <c:pt idx="10">
                  <c:v>5</c:v>
                </c:pt>
                <c:pt idx="11">
                  <c:v>0</c:v>
                </c:pt>
                <c:pt idx="12">
                  <c:v>1</c:v>
                </c:pt>
                <c:pt idx="13">
                  <c:v>2</c:v>
                </c:pt>
                <c:pt idx="14">
                  <c:v>1</c:v>
                </c:pt>
                <c:pt idx="15">
                  <c:v>1</c:v>
                </c:pt>
                <c:pt idx="16">
                  <c:v>2</c:v>
                </c:pt>
                <c:pt idx="17">
                  <c:v>1</c:v>
                </c:pt>
              </c:numCache>
            </c:numRef>
          </c:val>
          <c:extLst>
            <c:ext xmlns:c16="http://schemas.microsoft.com/office/drawing/2014/chart" uri="{C3380CC4-5D6E-409C-BE32-E72D297353CC}">
              <c16:uniqueId val="{00000001-090E-40BB-9BE3-967B7F8FDD0B}"/>
            </c:ext>
          </c:extLst>
        </c:ser>
        <c:dLbls>
          <c:showLegendKey val="0"/>
          <c:showVal val="0"/>
          <c:showCatName val="0"/>
          <c:showSerName val="0"/>
          <c:showPercent val="0"/>
          <c:showBubbleSize val="0"/>
        </c:dLbls>
        <c:gapWidth val="219"/>
        <c:overlap val="-27"/>
        <c:axId val="1878479823"/>
        <c:axId val="1878480783"/>
      </c:barChart>
      <c:catAx>
        <c:axId val="1878479823"/>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5cm dbh classes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8480783"/>
        <c:crosses val="autoZero"/>
        <c:auto val="1"/>
        <c:lblAlgn val="ctr"/>
        <c:lblOffset val="100"/>
        <c:noMultiLvlLbl val="0"/>
      </c:catAx>
      <c:valAx>
        <c:axId val="187848078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Number of trees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7847982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Regen_desc!$B$1</c:f>
              <c:strCache>
                <c:ptCount val="1"/>
                <c:pt idx="0">
                  <c:v>1971</c:v>
                </c:pt>
              </c:strCache>
            </c:strRef>
          </c:tx>
          <c:spPr>
            <a:solidFill>
              <a:schemeClr val="bg1">
                <a:lumMod val="75000"/>
              </a:schemeClr>
            </a:solidFill>
            <a:ln>
              <a:solidFill>
                <a:schemeClr val="accent1"/>
              </a:solidFill>
            </a:ln>
            <a:effectLst/>
          </c:spPr>
          <c:invertIfNegative val="0"/>
          <c:cat>
            <c:strRef>
              <c:f>Regen_desc!$A$2:$A$12</c:f>
              <c:strCache>
                <c:ptCount val="11"/>
                <c:pt idx="0">
                  <c:v>Alnus glutinosa</c:v>
                </c:pt>
                <c:pt idx="1">
                  <c:v>Populus tremula</c:v>
                </c:pt>
                <c:pt idx="2">
                  <c:v>Fagus sylvatica</c:v>
                </c:pt>
                <c:pt idx="3">
                  <c:v>Betula spp.</c:v>
                </c:pt>
                <c:pt idx="4">
                  <c:v>Ilex aquifolium</c:v>
                </c:pt>
                <c:pt idx="5">
                  <c:v>Juniperus spp.</c:v>
                </c:pt>
                <c:pt idx="6">
                  <c:v>Other conifer</c:v>
                </c:pt>
                <c:pt idx="7">
                  <c:v>Other hardwood</c:v>
                </c:pt>
                <c:pt idx="8">
                  <c:v>Sorbus aucuparia</c:v>
                </c:pt>
                <c:pt idx="9">
                  <c:v>Pinus sylvestris </c:v>
                </c:pt>
                <c:pt idx="10">
                  <c:v>Salix spp.</c:v>
                </c:pt>
              </c:strCache>
            </c:strRef>
          </c:cat>
          <c:val>
            <c:numRef>
              <c:f>Regen_desc!$B$2:$B$12</c:f>
              <c:numCache>
                <c:formatCode>General</c:formatCode>
                <c:ptCount val="11"/>
                <c:pt idx="0">
                  <c:v>6</c:v>
                </c:pt>
                <c:pt idx="1">
                  <c:v>1</c:v>
                </c:pt>
                <c:pt idx="2">
                  <c:v>2</c:v>
                </c:pt>
                <c:pt idx="3">
                  <c:v>152</c:v>
                </c:pt>
                <c:pt idx="4">
                  <c:v>2</c:v>
                </c:pt>
                <c:pt idx="5">
                  <c:v>0</c:v>
                </c:pt>
                <c:pt idx="6">
                  <c:v>65</c:v>
                </c:pt>
                <c:pt idx="7">
                  <c:v>19</c:v>
                </c:pt>
                <c:pt idx="8">
                  <c:v>120</c:v>
                </c:pt>
                <c:pt idx="9">
                  <c:v>103</c:v>
                </c:pt>
                <c:pt idx="10">
                  <c:v>0</c:v>
                </c:pt>
              </c:numCache>
            </c:numRef>
          </c:val>
          <c:extLst>
            <c:ext xmlns:c16="http://schemas.microsoft.com/office/drawing/2014/chart" uri="{C3380CC4-5D6E-409C-BE32-E72D297353CC}">
              <c16:uniqueId val="{00000000-12A6-4599-9E4D-37F8DD45524A}"/>
            </c:ext>
          </c:extLst>
        </c:ser>
        <c:ser>
          <c:idx val="1"/>
          <c:order val="1"/>
          <c:tx>
            <c:strRef>
              <c:f>Regen_desc!$C$1</c:f>
              <c:strCache>
                <c:ptCount val="1"/>
                <c:pt idx="0">
                  <c:v>2022</c:v>
                </c:pt>
              </c:strCache>
            </c:strRef>
          </c:tx>
          <c:spPr>
            <a:solidFill>
              <a:schemeClr val="tx1">
                <a:lumMod val="95000"/>
                <a:lumOff val="5000"/>
              </a:schemeClr>
            </a:solidFill>
            <a:ln>
              <a:noFill/>
            </a:ln>
            <a:effectLst/>
          </c:spPr>
          <c:invertIfNegative val="0"/>
          <c:cat>
            <c:strRef>
              <c:f>Regen_desc!$A$2:$A$12</c:f>
              <c:strCache>
                <c:ptCount val="11"/>
                <c:pt idx="0">
                  <c:v>Alnus glutinosa</c:v>
                </c:pt>
                <c:pt idx="1">
                  <c:v>Populus tremula</c:v>
                </c:pt>
                <c:pt idx="2">
                  <c:v>Fagus sylvatica</c:v>
                </c:pt>
                <c:pt idx="3">
                  <c:v>Betula spp.</c:v>
                </c:pt>
                <c:pt idx="4">
                  <c:v>Ilex aquifolium</c:v>
                </c:pt>
                <c:pt idx="5">
                  <c:v>Juniperus spp.</c:v>
                </c:pt>
                <c:pt idx="6">
                  <c:v>Other conifer</c:v>
                </c:pt>
                <c:pt idx="7">
                  <c:v>Other hardwood</c:v>
                </c:pt>
                <c:pt idx="8">
                  <c:v>Sorbus aucuparia</c:v>
                </c:pt>
                <c:pt idx="9">
                  <c:v>Pinus sylvestris </c:v>
                </c:pt>
                <c:pt idx="10">
                  <c:v>Salix spp.</c:v>
                </c:pt>
              </c:strCache>
            </c:strRef>
          </c:cat>
          <c:val>
            <c:numRef>
              <c:f>Regen_desc!$C$2:$C$12</c:f>
              <c:numCache>
                <c:formatCode>General</c:formatCode>
                <c:ptCount val="11"/>
                <c:pt idx="0">
                  <c:v>8</c:v>
                </c:pt>
                <c:pt idx="1">
                  <c:v>0</c:v>
                </c:pt>
                <c:pt idx="2">
                  <c:v>0</c:v>
                </c:pt>
                <c:pt idx="3">
                  <c:v>181</c:v>
                </c:pt>
                <c:pt idx="4">
                  <c:v>10</c:v>
                </c:pt>
                <c:pt idx="5">
                  <c:v>8</c:v>
                </c:pt>
                <c:pt idx="6">
                  <c:v>49</c:v>
                </c:pt>
                <c:pt idx="7">
                  <c:v>4</c:v>
                </c:pt>
                <c:pt idx="8">
                  <c:v>187</c:v>
                </c:pt>
                <c:pt idx="9">
                  <c:v>144</c:v>
                </c:pt>
                <c:pt idx="10">
                  <c:v>9</c:v>
                </c:pt>
              </c:numCache>
            </c:numRef>
          </c:val>
          <c:extLst>
            <c:ext xmlns:c16="http://schemas.microsoft.com/office/drawing/2014/chart" uri="{C3380CC4-5D6E-409C-BE32-E72D297353CC}">
              <c16:uniqueId val="{00000001-12A6-4599-9E4D-37F8DD45524A}"/>
            </c:ext>
          </c:extLst>
        </c:ser>
        <c:dLbls>
          <c:showLegendKey val="0"/>
          <c:showVal val="0"/>
          <c:showCatName val="0"/>
          <c:showSerName val="0"/>
          <c:showPercent val="0"/>
          <c:showBubbleSize val="0"/>
        </c:dLbls>
        <c:gapWidth val="219"/>
        <c:overlap val="-27"/>
        <c:axId val="746768864"/>
        <c:axId val="746771744"/>
      </c:barChart>
      <c:catAx>
        <c:axId val="746768864"/>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6771744"/>
        <c:crosses val="autoZero"/>
        <c:auto val="1"/>
        <c:lblAlgn val="ctr"/>
        <c:lblOffset val="100"/>
        <c:noMultiLvlLbl val="0"/>
      </c:catAx>
      <c:valAx>
        <c:axId val="7467717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Count</a:t>
                </a:r>
                <a:r>
                  <a:rPr lang="en-GB" baseline="0"/>
                  <a:t> of records (plots)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GB"/>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6768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Sheet2!$B$3</c:f>
              <c:strCache>
                <c:ptCount val="1"/>
                <c:pt idx="0">
                  <c:v>1971</c:v>
                </c:pt>
              </c:strCache>
            </c:strRef>
          </c:tx>
          <c:spPr>
            <a:solidFill>
              <a:schemeClr val="bg1">
                <a:lumMod val="75000"/>
              </a:schemeClr>
            </a:solidFill>
            <a:ln>
              <a:solidFill>
                <a:schemeClr val="tx1">
                  <a:lumMod val="95000"/>
                  <a:lumOff val="5000"/>
                </a:schemeClr>
              </a:solidFill>
            </a:ln>
            <a:effectLst/>
          </c:spPr>
          <c:invertIfNegative val="0"/>
          <c:cat>
            <c:strRef>
              <c:f>Sheet2!$A$4:$A$16</c:f>
              <c:strCache>
                <c:ptCount val="13"/>
                <c:pt idx="0">
                  <c:v>Calluna vulgaris</c:v>
                </c:pt>
                <c:pt idx="1">
                  <c:v>Vaccinium myrtillus</c:v>
                </c:pt>
                <c:pt idx="2">
                  <c:v>Potentilla erecta</c:v>
                </c:pt>
                <c:pt idx="3">
                  <c:v>Deschampsia flexuosa</c:v>
                </c:pt>
                <c:pt idx="4">
                  <c:v>Vaccinium vitis-idaea</c:v>
                </c:pt>
                <c:pt idx="5">
                  <c:v>Molinia caerulea</c:v>
                </c:pt>
                <c:pt idx="6">
                  <c:v>Blechnum spicant</c:v>
                </c:pt>
                <c:pt idx="7">
                  <c:v>Betula seedling/sp</c:v>
                </c:pt>
                <c:pt idx="8">
                  <c:v>Agrostis canina sens.lat.</c:v>
                </c:pt>
                <c:pt idx="9">
                  <c:v>Pteridium aquilinum</c:v>
                </c:pt>
                <c:pt idx="10">
                  <c:v>Erica tetralix</c:v>
                </c:pt>
                <c:pt idx="11">
                  <c:v>Carex echinata</c:v>
                </c:pt>
                <c:pt idx="12">
                  <c:v>Sorbus aucuparia</c:v>
                </c:pt>
              </c:strCache>
            </c:strRef>
          </c:cat>
          <c:val>
            <c:numRef>
              <c:f>Sheet2!$B$4:$B$16</c:f>
              <c:numCache>
                <c:formatCode>General</c:formatCode>
                <c:ptCount val="13"/>
                <c:pt idx="0">
                  <c:v>398</c:v>
                </c:pt>
                <c:pt idx="1">
                  <c:v>356</c:v>
                </c:pt>
                <c:pt idx="2">
                  <c:v>333</c:v>
                </c:pt>
                <c:pt idx="3">
                  <c:v>299</c:v>
                </c:pt>
                <c:pt idx="4">
                  <c:v>287</c:v>
                </c:pt>
                <c:pt idx="5">
                  <c:v>286</c:v>
                </c:pt>
                <c:pt idx="6">
                  <c:v>272</c:v>
                </c:pt>
                <c:pt idx="7">
                  <c:v>233</c:v>
                </c:pt>
                <c:pt idx="8">
                  <c:v>214</c:v>
                </c:pt>
                <c:pt idx="9">
                  <c:v>212</c:v>
                </c:pt>
                <c:pt idx="10">
                  <c:v>210</c:v>
                </c:pt>
                <c:pt idx="11">
                  <c:v>195</c:v>
                </c:pt>
                <c:pt idx="12">
                  <c:v>194</c:v>
                </c:pt>
              </c:numCache>
            </c:numRef>
          </c:val>
          <c:extLst>
            <c:ext xmlns:c16="http://schemas.microsoft.com/office/drawing/2014/chart" uri="{C3380CC4-5D6E-409C-BE32-E72D297353CC}">
              <c16:uniqueId val="{00000000-7397-4C07-BE95-0335169B191C}"/>
            </c:ext>
          </c:extLst>
        </c:ser>
        <c:ser>
          <c:idx val="1"/>
          <c:order val="1"/>
          <c:tx>
            <c:strRef>
              <c:f>Sheet2!$C$3</c:f>
              <c:strCache>
                <c:ptCount val="1"/>
                <c:pt idx="0">
                  <c:v>2022</c:v>
                </c:pt>
              </c:strCache>
            </c:strRef>
          </c:tx>
          <c:spPr>
            <a:solidFill>
              <a:schemeClr val="tx1">
                <a:lumMod val="95000"/>
                <a:lumOff val="5000"/>
              </a:schemeClr>
            </a:solidFill>
            <a:ln>
              <a:noFill/>
            </a:ln>
            <a:effectLst/>
          </c:spPr>
          <c:invertIfNegative val="0"/>
          <c:cat>
            <c:strRef>
              <c:f>Sheet2!$A$4:$A$16</c:f>
              <c:strCache>
                <c:ptCount val="13"/>
                <c:pt idx="0">
                  <c:v>Calluna vulgaris</c:v>
                </c:pt>
                <c:pt idx="1">
                  <c:v>Vaccinium myrtillus</c:v>
                </c:pt>
                <c:pt idx="2">
                  <c:v>Potentilla erecta</c:v>
                </c:pt>
                <c:pt idx="3">
                  <c:v>Deschampsia flexuosa</c:v>
                </c:pt>
                <c:pt idx="4">
                  <c:v>Vaccinium vitis-idaea</c:v>
                </c:pt>
                <c:pt idx="5">
                  <c:v>Molinia caerulea</c:v>
                </c:pt>
                <c:pt idx="6">
                  <c:v>Blechnum spicant</c:v>
                </c:pt>
                <c:pt idx="7">
                  <c:v>Betula seedling/sp</c:v>
                </c:pt>
                <c:pt idx="8">
                  <c:v>Agrostis canina sens.lat.</c:v>
                </c:pt>
                <c:pt idx="9">
                  <c:v>Pteridium aquilinum</c:v>
                </c:pt>
                <c:pt idx="10">
                  <c:v>Erica tetralix</c:v>
                </c:pt>
                <c:pt idx="11">
                  <c:v>Carex echinata</c:v>
                </c:pt>
                <c:pt idx="12">
                  <c:v>Sorbus aucuparia</c:v>
                </c:pt>
              </c:strCache>
            </c:strRef>
          </c:cat>
          <c:val>
            <c:numRef>
              <c:f>Sheet2!$C$4:$C$16</c:f>
              <c:numCache>
                <c:formatCode>General</c:formatCode>
                <c:ptCount val="13"/>
                <c:pt idx="0">
                  <c:v>392</c:v>
                </c:pt>
                <c:pt idx="1">
                  <c:v>374</c:v>
                </c:pt>
                <c:pt idx="2">
                  <c:v>289</c:v>
                </c:pt>
                <c:pt idx="3">
                  <c:v>306</c:v>
                </c:pt>
                <c:pt idx="4">
                  <c:v>190</c:v>
                </c:pt>
                <c:pt idx="5">
                  <c:v>314</c:v>
                </c:pt>
                <c:pt idx="6">
                  <c:v>278</c:v>
                </c:pt>
                <c:pt idx="7">
                  <c:v>181</c:v>
                </c:pt>
                <c:pt idx="8">
                  <c:v>82</c:v>
                </c:pt>
                <c:pt idx="9">
                  <c:v>189</c:v>
                </c:pt>
                <c:pt idx="10">
                  <c:v>190</c:v>
                </c:pt>
                <c:pt idx="11">
                  <c:v>183</c:v>
                </c:pt>
                <c:pt idx="12">
                  <c:v>242</c:v>
                </c:pt>
              </c:numCache>
            </c:numRef>
          </c:val>
          <c:extLst>
            <c:ext xmlns:c16="http://schemas.microsoft.com/office/drawing/2014/chart" uri="{C3380CC4-5D6E-409C-BE32-E72D297353CC}">
              <c16:uniqueId val="{00000001-7397-4C07-BE95-0335169B191C}"/>
            </c:ext>
          </c:extLst>
        </c:ser>
        <c:dLbls>
          <c:showLegendKey val="0"/>
          <c:showVal val="0"/>
          <c:showCatName val="0"/>
          <c:showSerName val="0"/>
          <c:showPercent val="0"/>
          <c:showBubbleSize val="0"/>
        </c:dLbls>
        <c:gapWidth val="219"/>
        <c:overlap val="-27"/>
        <c:axId val="711928512"/>
        <c:axId val="711930672"/>
      </c:barChart>
      <c:catAx>
        <c:axId val="71192851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r>
                  <a:rPr lang="en-GB">
                    <a:solidFill>
                      <a:schemeClr val="tx1">
                        <a:lumMod val="95000"/>
                        <a:lumOff val="5000"/>
                      </a:schemeClr>
                    </a:solidFill>
                  </a:rPr>
                  <a:t>Change in Top 15 species recorded in 1971</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crossAx val="711930672"/>
        <c:crosses val="autoZero"/>
        <c:auto val="1"/>
        <c:lblAlgn val="ctr"/>
        <c:lblOffset val="100"/>
        <c:noMultiLvlLbl val="0"/>
      </c:catAx>
      <c:valAx>
        <c:axId val="7119306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r>
                  <a:rPr lang="en-GB">
                    <a:solidFill>
                      <a:schemeClr val="tx1">
                        <a:lumMod val="95000"/>
                        <a:lumOff val="5000"/>
                      </a:schemeClr>
                    </a:solidFill>
                  </a:rPr>
                  <a:t>No. of occruences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95000"/>
                      <a:lumOff val="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711928512"/>
        <c:crosses val="autoZero"/>
        <c:crossBetween val="between"/>
        <c:majorUnit val="100"/>
        <c:minorUnit val="5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95000"/>
                  <a:lumOff val="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2"/>
          <c:order val="2"/>
          <c:tx>
            <c:strRef>
              <c:f>'Soil ph'!$D$19</c:f>
              <c:strCache>
                <c:ptCount val="1"/>
                <c:pt idx="0">
                  <c:v>Mean rainfall 1971</c:v>
                </c:pt>
              </c:strCache>
            </c:strRef>
          </c:tx>
          <c:spPr>
            <a:solidFill>
              <a:schemeClr val="bg1">
                <a:lumMod val="75000"/>
              </a:schemeClr>
            </a:solidFill>
            <a:ln w="12700">
              <a:solidFill>
                <a:schemeClr val="tx1">
                  <a:lumMod val="95000"/>
                  <a:lumOff val="5000"/>
                </a:schemeClr>
              </a:solidFill>
            </a:ln>
            <a:effectLst/>
          </c:spPr>
          <c:invertIfNegative val="0"/>
          <c:cat>
            <c:strRef>
              <c:f>'Soil ph'!$A$20:$A$27</c:f>
              <c:strCache>
                <c:ptCount val="8"/>
                <c:pt idx="0">
                  <c:v>Southern Group</c:v>
                </c:pt>
                <c:pt idx="1">
                  <c:v>Great Glen Group</c:v>
                </c:pt>
                <c:pt idx="2">
                  <c:v>Wester Ross Group</c:v>
                </c:pt>
                <c:pt idx="3">
                  <c:v>Strath Glass Group</c:v>
                </c:pt>
                <c:pt idx="4">
                  <c:v>Rannoch Group</c:v>
                </c:pt>
                <c:pt idx="5">
                  <c:v>Northern Group</c:v>
                </c:pt>
                <c:pt idx="6">
                  <c:v>Deeside Group</c:v>
                </c:pt>
                <c:pt idx="7">
                  <c:v>Speyside Group</c:v>
                </c:pt>
              </c:strCache>
            </c:strRef>
          </c:cat>
          <c:val>
            <c:numRef>
              <c:f>'Soil ph'!$D$20:$D$27</c:f>
              <c:numCache>
                <c:formatCode>General</c:formatCode>
                <c:ptCount val="8"/>
                <c:pt idx="0">
                  <c:v>2215.0991855862399</c:v>
                </c:pt>
                <c:pt idx="1">
                  <c:v>1955.51284801679</c:v>
                </c:pt>
                <c:pt idx="2">
                  <c:v>2095.8035238628199</c:v>
                </c:pt>
                <c:pt idx="3">
                  <c:v>1514.77810875977</c:v>
                </c:pt>
                <c:pt idx="4">
                  <c:v>1285.9549504911699</c:v>
                </c:pt>
                <c:pt idx="5">
                  <c:v>1155.56609177</c:v>
                </c:pt>
                <c:pt idx="6">
                  <c:v>717.80436766814501</c:v>
                </c:pt>
                <c:pt idx="7">
                  <c:v>738.56884503058097</c:v>
                </c:pt>
              </c:numCache>
            </c:numRef>
          </c:val>
          <c:extLst>
            <c:ext xmlns:c16="http://schemas.microsoft.com/office/drawing/2014/chart" uri="{C3380CC4-5D6E-409C-BE32-E72D297353CC}">
              <c16:uniqueId val="{00000000-BB68-4990-B79B-29805850C0F1}"/>
            </c:ext>
          </c:extLst>
        </c:ser>
        <c:ser>
          <c:idx val="3"/>
          <c:order val="3"/>
          <c:tx>
            <c:strRef>
              <c:f>'Soil ph'!$E$19</c:f>
              <c:strCache>
                <c:ptCount val="1"/>
                <c:pt idx="0">
                  <c:v>Mean rainfall 2022</c:v>
                </c:pt>
              </c:strCache>
            </c:strRef>
          </c:tx>
          <c:spPr>
            <a:solidFill>
              <a:schemeClr val="tx1">
                <a:lumMod val="95000"/>
                <a:lumOff val="5000"/>
              </a:schemeClr>
            </a:solidFill>
            <a:ln w="12700">
              <a:noFill/>
            </a:ln>
            <a:effectLst/>
          </c:spPr>
          <c:invertIfNegative val="0"/>
          <c:cat>
            <c:strRef>
              <c:f>'Soil ph'!$A$20:$A$27</c:f>
              <c:strCache>
                <c:ptCount val="8"/>
                <c:pt idx="0">
                  <c:v>Southern Group</c:v>
                </c:pt>
                <c:pt idx="1">
                  <c:v>Great Glen Group</c:v>
                </c:pt>
                <c:pt idx="2">
                  <c:v>Wester Ross Group</c:v>
                </c:pt>
                <c:pt idx="3">
                  <c:v>Strath Glass Group</c:v>
                </c:pt>
                <c:pt idx="4">
                  <c:v>Rannoch Group</c:v>
                </c:pt>
                <c:pt idx="5">
                  <c:v>Northern Group</c:v>
                </c:pt>
                <c:pt idx="6">
                  <c:v>Deeside Group</c:v>
                </c:pt>
                <c:pt idx="7">
                  <c:v>Speyside Group</c:v>
                </c:pt>
              </c:strCache>
            </c:strRef>
          </c:cat>
          <c:val>
            <c:numRef>
              <c:f>'Soil ph'!$E$20:$E$27</c:f>
              <c:numCache>
                <c:formatCode>General</c:formatCode>
                <c:ptCount val="8"/>
                <c:pt idx="0">
                  <c:v>3049.6701095611802</c:v>
                </c:pt>
                <c:pt idx="1">
                  <c:v>2331.7286293470902</c:v>
                </c:pt>
                <c:pt idx="2">
                  <c:v>2158.0157672803698</c:v>
                </c:pt>
                <c:pt idx="3">
                  <c:v>1738.50733329484</c:v>
                </c:pt>
                <c:pt idx="4">
                  <c:v>1671.29593156546</c:v>
                </c:pt>
                <c:pt idx="5">
                  <c:v>1457.38065984484</c:v>
                </c:pt>
                <c:pt idx="6">
                  <c:v>1040.3487541862</c:v>
                </c:pt>
                <c:pt idx="7">
                  <c:v>960.60446020412405</c:v>
                </c:pt>
              </c:numCache>
            </c:numRef>
          </c:val>
          <c:extLst>
            <c:ext xmlns:c16="http://schemas.microsoft.com/office/drawing/2014/chart" uri="{C3380CC4-5D6E-409C-BE32-E72D297353CC}">
              <c16:uniqueId val="{00000001-BB68-4990-B79B-29805850C0F1}"/>
            </c:ext>
          </c:extLst>
        </c:ser>
        <c:dLbls>
          <c:showLegendKey val="0"/>
          <c:showVal val="0"/>
          <c:showCatName val="0"/>
          <c:showSerName val="0"/>
          <c:showPercent val="0"/>
          <c:showBubbleSize val="0"/>
        </c:dLbls>
        <c:gapWidth val="219"/>
        <c:axId val="525754960"/>
        <c:axId val="525754240"/>
      </c:barChart>
      <c:lineChart>
        <c:grouping val="standard"/>
        <c:varyColors val="0"/>
        <c:ser>
          <c:idx val="0"/>
          <c:order val="0"/>
          <c:tx>
            <c:strRef>
              <c:f>'Soil ph'!$B$19</c:f>
              <c:strCache>
                <c:ptCount val="1"/>
                <c:pt idx="0">
                  <c:v>Mean pH 1971</c:v>
                </c:pt>
              </c:strCache>
            </c:strRef>
          </c:tx>
          <c:spPr>
            <a:ln w="28575" cap="rnd">
              <a:noFill/>
              <a:round/>
            </a:ln>
            <a:effectLst/>
          </c:spPr>
          <c:marker>
            <c:symbol val="circle"/>
            <c:size val="10"/>
            <c:spPr>
              <a:solidFill>
                <a:schemeClr val="bg1">
                  <a:lumMod val="75000"/>
                </a:schemeClr>
              </a:solidFill>
              <a:ln w="12700">
                <a:solidFill>
                  <a:schemeClr val="tx1">
                    <a:lumMod val="95000"/>
                    <a:lumOff val="5000"/>
                  </a:schemeClr>
                </a:solidFill>
              </a:ln>
              <a:effectLst/>
            </c:spPr>
          </c:marker>
          <c:cat>
            <c:strRef>
              <c:f>'Soil ph'!$A$20:$A$27</c:f>
              <c:strCache>
                <c:ptCount val="8"/>
                <c:pt idx="0">
                  <c:v>Southern Group</c:v>
                </c:pt>
                <c:pt idx="1">
                  <c:v>Great Glen Group</c:v>
                </c:pt>
                <c:pt idx="2">
                  <c:v>Wester Ross Group</c:v>
                </c:pt>
                <c:pt idx="3">
                  <c:v>Strath Glass Group</c:v>
                </c:pt>
                <c:pt idx="4">
                  <c:v>Rannoch Group</c:v>
                </c:pt>
                <c:pt idx="5">
                  <c:v>Northern Group</c:v>
                </c:pt>
                <c:pt idx="6">
                  <c:v>Deeside Group</c:v>
                </c:pt>
                <c:pt idx="7">
                  <c:v>Speyside Group</c:v>
                </c:pt>
              </c:strCache>
            </c:strRef>
          </c:cat>
          <c:val>
            <c:numRef>
              <c:f>'Soil ph'!$B$20:$B$27</c:f>
              <c:numCache>
                <c:formatCode>General</c:formatCode>
                <c:ptCount val="8"/>
                <c:pt idx="0">
                  <c:v>4.4000000000000004</c:v>
                </c:pt>
                <c:pt idx="1">
                  <c:v>4.5999999999999996</c:v>
                </c:pt>
                <c:pt idx="2">
                  <c:v>4.7</c:v>
                </c:pt>
                <c:pt idx="3">
                  <c:v>4.0999999999999996</c:v>
                </c:pt>
                <c:pt idx="4">
                  <c:v>4.4000000000000004</c:v>
                </c:pt>
                <c:pt idx="5">
                  <c:v>4.2</c:v>
                </c:pt>
                <c:pt idx="6">
                  <c:v>4</c:v>
                </c:pt>
                <c:pt idx="7">
                  <c:v>4.3</c:v>
                </c:pt>
              </c:numCache>
            </c:numRef>
          </c:val>
          <c:smooth val="0"/>
          <c:extLst>
            <c:ext xmlns:c16="http://schemas.microsoft.com/office/drawing/2014/chart" uri="{C3380CC4-5D6E-409C-BE32-E72D297353CC}">
              <c16:uniqueId val="{00000002-BB68-4990-B79B-29805850C0F1}"/>
            </c:ext>
          </c:extLst>
        </c:ser>
        <c:ser>
          <c:idx val="1"/>
          <c:order val="1"/>
          <c:tx>
            <c:strRef>
              <c:f>'Soil ph'!$C$19</c:f>
              <c:strCache>
                <c:ptCount val="1"/>
                <c:pt idx="0">
                  <c:v>Mean pH 2022</c:v>
                </c:pt>
              </c:strCache>
            </c:strRef>
          </c:tx>
          <c:spPr>
            <a:ln w="28575" cap="rnd">
              <a:noFill/>
              <a:round/>
            </a:ln>
            <a:effectLst/>
          </c:spPr>
          <c:marker>
            <c:symbol val="circle"/>
            <c:size val="10"/>
            <c:spPr>
              <a:solidFill>
                <a:schemeClr val="tx1">
                  <a:lumMod val="95000"/>
                  <a:lumOff val="5000"/>
                </a:schemeClr>
              </a:solidFill>
              <a:ln w="12700">
                <a:noFill/>
              </a:ln>
              <a:effectLst/>
            </c:spPr>
          </c:marker>
          <c:cat>
            <c:strRef>
              <c:f>'Soil ph'!$A$20:$A$27</c:f>
              <c:strCache>
                <c:ptCount val="8"/>
                <c:pt idx="0">
                  <c:v>Southern Group</c:v>
                </c:pt>
                <c:pt idx="1">
                  <c:v>Great Glen Group</c:v>
                </c:pt>
                <c:pt idx="2">
                  <c:v>Wester Ross Group</c:v>
                </c:pt>
                <c:pt idx="3">
                  <c:v>Strath Glass Group</c:v>
                </c:pt>
                <c:pt idx="4">
                  <c:v>Rannoch Group</c:v>
                </c:pt>
                <c:pt idx="5">
                  <c:v>Northern Group</c:v>
                </c:pt>
                <c:pt idx="6">
                  <c:v>Deeside Group</c:v>
                </c:pt>
                <c:pt idx="7">
                  <c:v>Speyside Group</c:v>
                </c:pt>
              </c:strCache>
            </c:strRef>
          </c:cat>
          <c:val>
            <c:numRef>
              <c:f>'Soil ph'!$C$20:$C$27</c:f>
              <c:numCache>
                <c:formatCode>General</c:formatCode>
                <c:ptCount val="8"/>
                <c:pt idx="0">
                  <c:v>4.5</c:v>
                </c:pt>
                <c:pt idx="1">
                  <c:v>4.7</c:v>
                </c:pt>
                <c:pt idx="2">
                  <c:v>4.5</c:v>
                </c:pt>
                <c:pt idx="3">
                  <c:v>4.5</c:v>
                </c:pt>
                <c:pt idx="4">
                  <c:v>4.5</c:v>
                </c:pt>
                <c:pt idx="5">
                  <c:v>4.3</c:v>
                </c:pt>
                <c:pt idx="6">
                  <c:v>4.5999999999999996</c:v>
                </c:pt>
                <c:pt idx="7">
                  <c:v>4.2</c:v>
                </c:pt>
              </c:numCache>
            </c:numRef>
          </c:val>
          <c:smooth val="0"/>
          <c:extLst>
            <c:ext xmlns:c16="http://schemas.microsoft.com/office/drawing/2014/chart" uri="{C3380CC4-5D6E-409C-BE32-E72D297353CC}">
              <c16:uniqueId val="{00000003-BB68-4990-B79B-29805850C0F1}"/>
            </c:ext>
          </c:extLst>
        </c:ser>
        <c:dLbls>
          <c:showLegendKey val="0"/>
          <c:showVal val="0"/>
          <c:showCatName val="0"/>
          <c:showSerName val="0"/>
          <c:showPercent val="0"/>
          <c:showBubbleSize val="0"/>
        </c:dLbls>
        <c:marker val="1"/>
        <c:smooth val="0"/>
        <c:axId val="567431888"/>
        <c:axId val="567427208"/>
      </c:lineChart>
      <c:catAx>
        <c:axId val="525754960"/>
        <c:scaling>
          <c:orientation val="minMax"/>
        </c:scaling>
        <c:delete val="0"/>
        <c:axPos val="b"/>
        <c:numFmt formatCode="General" sourceLinked="1"/>
        <c:majorTickMark val="out"/>
        <c:minorTickMark val="none"/>
        <c:tickLblPos val="nextTo"/>
        <c:spPr>
          <a:noFill/>
          <a:ln w="9525" cap="flat" cmpd="sng" algn="ctr">
            <a:solidFill>
              <a:schemeClr val="tx1">
                <a:lumMod val="65000"/>
                <a:lumOff val="3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5754240"/>
        <c:crosses val="autoZero"/>
        <c:auto val="1"/>
        <c:lblAlgn val="ctr"/>
        <c:lblOffset val="100"/>
        <c:noMultiLvlLbl val="0"/>
      </c:catAx>
      <c:valAx>
        <c:axId val="525754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Soil pH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solidFill>
              <a:schemeClr val="bg1">
                <a:lumMod val="6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5754960"/>
        <c:crosses val="autoZero"/>
        <c:crossBetween val="between"/>
      </c:valAx>
      <c:valAx>
        <c:axId val="567427208"/>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Mean soil pH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a:solidFill>
              <a:schemeClr val="bg1">
                <a:lumMod val="75000"/>
              </a:schemeClr>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7431888"/>
        <c:crosses val="max"/>
        <c:crossBetween val="between"/>
      </c:valAx>
      <c:catAx>
        <c:axId val="567431888"/>
        <c:scaling>
          <c:orientation val="minMax"/>
        </c:scaling>
        <c:delete val="1"/>
        <c:axPos val="b"/>
        <c:numFmt formatCode="General" sourceLinked="1"/>
        <c:majorTickMark val="out"/>
        <c:minorTickMark val="none"/>
        <c:tickLblPos val="nextTo"/>
        <c:crossAx val="56742720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AF5BAF-C03F-4714-AA25-DD642926A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1119</TotalTime>
  <Pages>22</Pages>
  <Words>8996</Words>
  <Characters>49478</Characters>
  <Application>Microsoft Office Word</Application>
  <DocSecurity>0</DocSecurity>
  <Lines>1499</Lines>
  <Paragraphs>1008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 Wood</dc:creator>
  <cp:keywords/>
  <dc:description/>
  <cp:lastModifiedBy>Richard Thompson</cp:lastModifiedBy>
  <cp:revision>6</cp:revision>
  <dcterms:created xsi:type="dcterms:W3CDTF">2026-02-16T16:31:00Z</dcterms:created>
  <dcterms:modified xsi:type="dcterms:W3CDTF">2026-02-17T13:42:00Z</dcterms:modified>
</cp:coreProperties>
</file>